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AF25A1" w14:textId="77777777" w:rsidR="00BC2F53" w:rsidRDefault="00000000">
      <w:pPr>
        <w:pStyle w:val="Title"/>
      </w:pPr>
      <w:r>
        <w:t>OPS Workflow Walkthrough</w:t>
      </w:r>
    </w:p>
    <w:p w14:paraId="3A437B23" w14:textId="77777777" w:rsidR="00BC2F53" w:rsidRDefault="00000000">
      <w:r>
        <w:t>Isabel Quintanilla | 2026-01-13</w:t>
      </w:r>
    </w:p>
    <w:p w14:paraId="49D7CBE6" w14:textId="77777777" w:rsidR="00BC2F53" w:rsidRDefault="00000000">
      <w:pPr>
        <w:pStyle w:val="Heading1"/>
      </w:pPr>
      <w:r>
        <w:t>OPS Workflow Walkthrough</w:t>
      </w:r>
    </w:p>
    <w:p w14:paraId="76B61CC1" w14:textId="77777777" w:rsidR="00BC2F53" w:rsidRDefault="00000000">
      <w:r>
        <w:t>Optical Pooled Screening Assay Development Guide | isabel.quintanilla@nih.gov, gianluca.pegoraro@nih.gov</w:t>
      </w:r>
    </w:p>
    <w:p w14:paraId="437A0F06" w14:textId="77777777" w:rsidR="00BC2F53" w:rsidRDefault="00000000">
      <w:r>
        <w:t xml:space="preserve">Isabel Quintanilla </w:t>
      </w:r>
    </w:p>
    <w:p w14:paraId="3C9F3D36" w14:textId="77777777" w:rsidR="00BC2F53" w:rsidRDefault="00000000">
      <w:r>
        <w:t>January 13, 2026</w:t>
      </w:r>
    </w:p>
    <w:p w14:paraId="43FC06E6" w14:textId="77777777" w:rsidR="00BC2F53" w:rsidRDefault="00000000">
      <w:pPr>
        <w:pStyle w:val="Heading2"/>
      </w:pPr>
      <w:r>
        <w:t>1 Inducible spCas9 (iCas9) Cell Line Generation</w:t>
      </w:r>
    </w:p>
    <w:p w14:paraId="36A18DEE" w14:textId="77777777" w:rsidR="00BC2F53" w:rsidRDefault="00000000">
      <w:r>
        <w:t>As the generation of OPS cell libraries after lentiviral transduction, antibiotic selection, and expansion takes around 7 days, it is recommended to work with a clonal inducible spCas9 cell line to control for genetic perturbation timing and avoid the negative selection and loss of gene knock-outs that are lethal (Funk, Cell 2021).</w:t>
      </w:r>
    </w:p>
    <w:p w14:paraId="6ECEBE46" w14:textId="77777777" w:rsidR="00BC2F53" w:rsidRDefault="00000000">
      <w:pPr>
        <w:pStyle w:val="Heading3"/>
      </w:pPr>
      <w:r>
        <w:t>1.1 PiggyBac-based Plasmid Transfection and Selection</w:t>
      </w:r>
    </w:p>
    <w:p w14:paraId="0C6662F7" w14:textId="77777777" w:rsidR="00BC2F53" w:rsidRDefault="00000000">
      <w:r>
        <w:t>For the generation of a stable iCas9 cell line we use the PiggyBac transposon system due to its high efficiency and large cargo capacity. The cell line of interest is co-transfected with the plasmid HP138-neo (McKinley, Mol Cell 2015), a piggyBac transposon expressing spCas9 under the control of Tet-On promoter and neomycin resistance, and a plasmid containing the transposase.</w:t>
      </w:r>
    </w:p>
    <w:p w14:paraId="4EEF67FC" w14:textId="39553901" w:rsidR="00BC2F53" w:rsidRDefault="00000000">
      <w:r>
        <w:t xml:space="preserve">Reference: </w:t>
      </w:r>
      <w:r w:rsidRPr="00786299">
        <w:rPr>
          <w:color w:val="000000" w:themeColor="text1"/>
        </w:rPr>
        <w:t>SOP_001</w:t>
      </w:r>
    </w:p>
    <w:p w14:paraId="5175089C" w14:textId="77777777" w:rsidR="00BC2F53" w:rsidRDefault="00000000">
      <w:pPr>
        <w:pStyle w:val="Heading3"/>
      </w:pPr>
      <w:r>
        <w:t>1.2 Clonal Cell Lines Isolation</w:t>
      </w:r>
    </w:p>
    <w:p w14:paraId="11D82F40" w14:textId="77777777" w:rsidR="00BC2F53" w:rsidRDefault="00000000">
      <w:r>
        <w:t>It is recommended to isolate clonal cell lines to assure consistent and reproducible results.</w:t>
      </w:r>
    </w:p>
    <w:p w14:paraId="2D997747" w14:textId="77777777" w:rsidR="00BC2F53" w:rsidRDefault="00000000">
      <w:r>
        <w:t xml:space="preserve">Reference: </w:t>
      </w:r>
      <w:hyperlink r:id="rId6">
        <w:r w:rsidRPr="00786299">
          <w:rPr>
            <w:color w:val="000000" w:themeColor="text1"/>
          </w:rPr>
          <w:t>SOP</w:t>
        </w:r>
        <w:r w:rsidRPr="00786299">
          <w:rPr>
            <w:color w:val="000000" w:themeColor="text1"/>
          </w:rPr>
          <w:t>_</w:t>
        </w:r>
        <w:r w:rsidRPr="00786299">
          <w:rPr>
            <w:color w:val="000000" w:themeColor="text1"/>
          </w:rPr>
          <w:t>0</w:t>
        </w:r>
        <w:r w:rsidRPr="00786299">
          <w:rPr>
            <w:color w:val="000000" w:themeColor="text1"/>
          </w:rPr>
          <w:t>0</w:t>
        </w:r>
        <w:r w:rsidRPr="00786299">
          <w:rPr>
            <w:color w:val="000000" w:themeColor="text1"/>
          </w:rPr>
          <w:t>2</w:t>
        </w:r>
      </w:hyperlink>
    </w:p>
    <w:p w14:paraId="7381AE24" w14:textId="77777777" w:rsidR="00BC2F53" w:rsidRDefault="00000000">
      <w:pPr>
        <w:pStyle w:val="Heading3"/>
      </w:pPr>
      <w:r>
        <w:t>1.3 Cas9 Efficiency and Doxycycline Concentration Testing</w:t>
      </w:r>
    </w:p>
    <w:p w14:paraId="510282A1" w14:textId="77777777" w:rsidR="00BC2F53" w:rsidRDefault="00000000">
      <w:r>
        <w:t>To select the best clonal cell line to work with, the cutting efficiency of Cas9 is measured by transducing several clonal cell lines with the lentiviral vector pXPR-011 (Doench, Nat Biotechnol 2014), which expresses the EGFP gene and an sgRNA targeting EGFP at a MOI=0.1 and measuring the decrease in EGFP signal after doxycycline treatment.</w:t>
      </w:r>
    </w:p>
    <w:p w14:paraId="685A3560" w14:textId="77777777" w:rsidR="00BC2F53" w:rsidRDefault="00000000">
      <w:r>
        <w:t>Steps:</w:t>
      </w:r>
    </w:p>
    <w:p w14:paraId="67BE8A60" w14:textId="77777777" w:rsidR="00BC2F53" w:rsidRDefault="00000000">
      <w:pPr>
        <w:pStyle w:val="ListBullet"/>
      </w:pPr>
      <w:r>
        <w:t>Lentivirus production (</w:t>
      </w:r>
      <w:hyperlink r:id="rId7">
        <w:r w:rsidRPr="00786299">
          <w:rPr>
            <w:color w:val="000000" w:themeColor="text1"/>
          </w:rPr>
          <w:t>SOP_003</w:t>
        </w:r>
      </w:hyperlink>
      <w:r>
        <w:t>)</w:t>
      </w:r>
    </w:p>
    <w:p w14:paraId="13CF714D" w14:textId="59401FFC" w:rsidR="00BC2F53" w:rsidRDefault="00000000">
      <w:pPr>
        <w:pStyle w:val="ListBullet"/>
      </w:pPr>
      <w:r>
        <w:t>Lentivirus titration (</w:t>
      </w:r>
      <w:r w:rsidRPr="00786299">
        <w:rPr>
          <w:color w:val="000000" w:themeColor="text1"/>
        </w:rPr>
        <w:t>SOP_004</w:t>
      </w:r>
      <w:r>
        <w:t>)</w:t>
      </w:r>
    </w:p>
    <w:p w14:paraId="183A4415" w14:textId="0B1C26BC" w:rsidR="00BC2F53" w:rsidRDefault="00000000">
      <w:pPr>
        <w:pStyle w:val="ListBullet"/>
      </w:pPr>
      <w:r>
        <w:t>Lentivirus transduction (</w:t>
      </w:r>
      <w:r w:rsidRPr="00786299">
        <w:rPr>
          <w:color w:val="000000" w:themeColor="text1"/>
        </w:rPr>
        <w:t>SOP_005</w:t>
      </w:r>
      <w:r>
        <w:t>)</w:t>
      </w:r>
    </w:p>
    <w:p w14:paraId="0E529A72" w14:textId="66A126F3" w:rsidR="00BC2F53" w:rsidRDefault="00000000">
      <w:pPr>
        <w:pStyle w:val="ListBullet"/>
      </w:pPr>
      <w:r>
        <w:t>Cas9 efficiency measurement (</w:t>
      </w:r>
      <w:r w:rsidRPr="00786299">
        <w:rPr>
          <w:color w:val="000000" w:themeColor="text1"/>
        </w:rPr>
        <w:t>SOP_006</w:t>
      </w:r>
      <w:r>
        <w:t>)</w:t>
      </w:r>
    </w:p>
    <w:p w14:paraId="11FBBF77" w14:textId="77777777" w:rsidR="00BC2F53" w:rsidRDefault="00000000">
      <w:pPr>
        <w:pStyle w:val="Heading2"/>
      </w:pPr>
      <w:r>
        <w:lastRenderedPageBreak/>
        <w:t>2 In Situ Sequencing (ISS) and Phenotyping Workflow Validation</w:t>
      </w:r>
    </w:p>
    <w:p w14:paraId="01ECE69D" w14:textId="77777777" w:rsidR="00BC2F53" w:rsidRDefault="00000000">
      <w:r>
        <w:t>The goal here is to make sure the In Situ Sequencing (ISS) workflow and phenotyping assay are compatible and the phenotype can be detected using low MOI lentiviral transduction.</w:t>
      </w:r>
    </w:p>
    <w:p w14:paraId="7857D937" w14:textId="77777777" w:rsidR="00BC2F53" w:rsidRDefault="00000000">
      <w:pPr>
        <w:pStyle w:val="Heading3"/>
      </w:pPr>
      <w:r>
        <w:t>2.1 Generate an OPS-testing Cell Line</w:t>
      </w:r>
    </w:p>
    <w:p w14:paraId="5D351E6C" w14:textId="77777777" w:rsidR="00BC2F53" w:rsidRDefault="00000000">
      <w:r>
        <w:t>Transduce iCas9 target cell line with a plasmid library containing a mix of ~ 10-20 targeting and ~ 10-20 non-targeting control sgRNA using the CROPseq-U6T7-V2 lentiviral vector and a MOI=0.1. Then, perform proper antibiotic selection to generate the corresponding OPS-testing cell line.</w:t>
      </w:r>
    </w:p>
    <w:p w14:paraId="59DD0759" w14:textId="77777777" w:rsidR="00BC2F53" w:rsidRDefault="00000000">
      <w:pPr>
        <w:pStyle w:val="Heading3"/>
      </w:pPr>
      <w:r>
        <w:t>2.2 ISS Validation</w:t>
      </w:r>
    </w:p>
    <w:p w14:paraId="0F6FD3AD" w14:textId="77777777" w:rsidR="00BC2F53" w:rsidRDefault="00000000">
      <w:r>
        <w:t>Find the seeding density that results in 80% confluency 48h after seeding your cells in a glass-bottom 6-well plates. Then, perform OPS workflow using OPS-testing cell line and calculate sequencing efficiency (percentage of cells with sequencing signal).</w:t>
      </w:r>
    </w:p>
    <w:p w14:paraId="50184E5E" w14:textId="77777777" w:rsidR="00BC2F53" w:rsidRDefault="00000000">
      <w:r>
        <w:t>Steps:</w:t>
      </w:r>
    </w:p>
    <w:p w14:paraId="4F8340AB" w14:textId="77777777" w:rsidR="00BC2F53" w:rsidRDefault="00000000">
      <w:pPr>
        <w:pStyle w:val="ListBullet"/>
      </w:pPr>
      <w:r>
        <w:t xml:space="preserve">Library preparation </w:t>
      </w:r>
      <w:r w:rsidRPr="009C034C">
        <w:rPr>
          <w:color w:val="000000" w:themeColor="text1"/>
        </w:rPr>
        <w:t>(</w:t>
      </w:r>
      <w:hyperlink r:id="rId8">
        <w:r w:rsidRPr="00786299">
          <w:rPr>
            <w:color w:val="000000" w:themeColor="text1"/>
          </w:rPr>
          <w:t>SOP_009b</w:t>
        </w:r>
      </w:hyperlink>
      <w:r>
        <w:t>)</w:t>
      </w:r>
    </w:p>
    <w:p w14:paraId="7954B5C3" w14:textId="475F4C7A" w:rsidR="00BC2F53" w:rsidRDefault="00000000">
      <w:pPr>
        <w:pStyle w:val="ListBullet"/>
      </w:pPr>
      <w:r>
        <w:t>SBS Sequencing + Imaging (</w:t>
      </w:r>
      <w:r w:rsidRPr="00786299">
        <w:rPr>
          <w:color w:val="000000" w:themeColor="text1"/>
        </w:rPr>
        <w:t>SOP_010, SOP_011</w:t>
      </w:r>
      <w:r>
        <w:t>)</w:t>
      </w:r>
    </w:p>
    <w:p w14:paraId="41CDEB48" w14:textId="77777777" w:rsidR="00BC2F53" w:rsidRDefault="00000000">
      <w:pPr>
        <w:pStyle w:val="ListBullet"/>
      </w:pPr>
      <w:r>
        <w:t>Image analysis (HiTiF)</w:t>
      </w:r>
    </w:p>
    <w:p w14:paraId="13C80326" w14:textId="77777777" w:rsidR="00BC2F53" w:rsidRDefault="00000000">
      <w:pPr>
        <w:pStyle w:val="Heading3"/>
      </w:pPr>
      <w:r>
        <w:t>2.3 ISS and Phenotyping Validation</w:t>
      </w:r>
    </w:p>
    <w:p w14:paraId="7B2D820C" w14:textId="77777777" w:rsidR="00BC2F53" w:rsidRDefault="00000000">
      <w:r>
        <w:t>Perform the phenotyping assay followed by OPS workflow and verify that both methods are working as expected when combined. Then, determine whether the expected phenotype is observed when control genes are targeted by measuring genotype to phenotype associations.</w:t>
      </w:r>
    </w:p>
    <w:p w14:paraId="1BE2FDDF" w14:textId="77777777" w:rsidR="00BC2F53" w:rsidRDefault="00000000">
      <w:r>
        <w:t>Steps:</w:t>
      </w:r>
    </w:p>
    <w:p w14:paraId="6E32230F" w14:textId="77777777" w:rsidR="00BC2F53" w:rsidRDefault="00000000">
      <w:pPr>
        <w:pStyle w:val="ListBullet"/>
      </w:pPr>
      <w:r>
        <w:t>Phenotype imaging</w:t>
      </w:r>
    </w:p>
    <w:p w14:paraId="1477E87E" w14:textId="2DDB76E1" w:rsidR="00BC2F53" w:rsidRDefault="00000000">
      <w:pPr>
        <w:pStyle w:val="ListBullet"/>
      </w:pPr>
      <w:r>
        <w:t>Library preparation (</w:t>
      </w:r>
      <w:r w:rsidRPr="00786299">
        <w:rPr>
          <w:color w:val="000000" w:themeColor="text1"/>
        </w:rPr>
        <w:t>SOP_009b</w:t>
      </w:r>
      <w:r>
        <w:t>)</w:t>
      </w:r>
    </w:p>
    <w:p w14:paraId="571EEEC8" w14:textId="4AC49CEB" w:rsidR="00BC2F53" w:rsidRDefault="00000000">
      <w:pPr>
        <w:pStyle w:val="ListBullet"/>
      </w:pPr>
      <w:r>
        <w:t>SBS Sequencing + Imaging (</w:t>
      </w:r>
      <w:r w:rsidRPr="00786299">
        <w:rPr>
          <w:color w:val="000000" w:themeColor="text1"/>
        </w:rPr>
        <w:t>SOP_010, SOP_011</w:t>
      </w:r>
      <w:r>
        <w:t>)</w:t>
      </w:r>
    </w:p>
    <w:p w14:paraId="58BB53A9" w14:textId="77777777" w:rsidR="00BC2F53" w:rsidRDefault="00000000">
      <w:pPr>
        <w:pStyle w:val="ListBullet"/>
      </w:pPr>
      <w:r>
        <w:t>Image analysis (HiTiF)</w:t>
      </w:r>
    </w:p>
    <w:p w14:paraId="25854E8A" w14:textId="77777777" w:rsidR="00BC2F53" w:rsidRDefault="00000000">
      <w:pPr>
        <w:pStyle w:val="Heading2"/>
      </w:pPr>
      <w:r>
        <w:t>3 OPS Execution</w:t>
      </w:r>
    </w:p>
    <w:p w14:paraId="0622DD4D" w14:textId="77777777" w:rsidR="00BC2F53" w:rsidRDefault="00000000">
      <w:r>
        <w:t>After previous steps are completed, OPS using a larger library can be performed:</w:t>
      </w:r>
    </w:p>
    <w:p w14:paraId="02908C4C" w14:textId="1F899748" w:rsidR="00BC2F53" w:rsidRDefault="00000000">
      <w:pPr>
        <w:pStyle w:val="ListBullet"/>
      </w:pPr>
      <w:r>
        <w:t>Generation of OPS cell library (</w:t>
      </w:r>
      <w:r w:rsidRPr="00786299">
        <w:rPr>
          <w:color w:val="000000" w:themeColor="text1"/>
        </w:rPr>
        <w:t>SOP_007</w:t>
      </w:r>
      <w:r>
        <w:t>)</w:t>
      </w:r>
    </w:p>
    <w:p w14:paraId="7E62F15C" w14:textId="3C653CE6" w:rsidR="00BC2F53" w:rsidRDefault="00000000">
      <w:pPr>
        <w:pStyle w:val="ListBullet"/>
      </w:pPr>
      <w:r>
        <w:t>Cell library validation (</w:t>
      </w:r>
      <w:r w:rsidRPr="00786299">
        <w:rPr>
          <w:color w:val="000000" w:themeColor="text1"/>
        </w:rPr>
        <w:t>SOP_008</w:t>
      </w:r>
      <w:r>
        <w:t>)</w:t>
      </w:r>
    </w:p>
    <w:p w14:paraId="34D247A4" w14:textId="77777777" w:rsidR="00BC2F53" w:rsidRDefault="00000000">
      <w:pPr>
        <w:pStyle w:val="ListBullet"/>
      </w:pPr>
      <w:r>
        <w:t>Phenotype imaging</w:t>
      </w:r>
    </w:p>
    <w:p w14:paraId="02133AAB" w14:textId="6CC18CE1" w:rsidR="00BC2F53" w:rsidRDefault="00000000">
      <w:pPr>
        <w:pStyle w:val="ListBullet"/>
      </w:pPr>
      <w:r>
        <w:t>Library preparation (</w:t>
      </w:r>
      <w:r w:rsidRPr="00786299">
        <w:rPr>
          <w:color w:val="000000" w:themeColor="text1"/>
        </w:rPr>
        <w:t>SOP_009b</w:t>
      </w:r>
      <w:r>
        <w:t>)</w:t>
      </w:r>
    </w:p>
    <w:p w14:paraId="36BE6EAA" w14:textId="07B8628F" w:rsidR="00BC2F53" w:rsidRDefault="00000000">
      <w:pPr>
        <w:pStyle w:val="ListBullet"/>
      </w:pPr>
      <w:r>
        <w:t>SBS Sequencing + Imaging (</w:t>
      </w:r>
      <w:r w:rsidRPr="00786299">
        <w:rPr>
          <w:color w:val="000000" w:themeColor="text1"/>
        </w:rPr>
        <w:t>SOP_010</w:t>
      </w:r>
      <w:r>
        <w:t>,</w:t>
      </w:r>
      <w:r w:rsidRPr="00786299">
        <w:rPr>
          <w:color w:val="000000" w:themeColor="text1"/>
        </w:rPr>
        <w:t xml:space="preserve"> </w:t>
      </w:r>
      <w:hyperlink r:id="rId9">
        <w:r w:rsidRPr="00786299">
          <w:rPr>
            <w:color w:val="000000" w:themeColor="text1"/>
          </w:rPr>
          <w:t>SOP_011</w:t>
        </w:r>
      </w:hyperlink>
      <w:r>
        <w:t>)</w:t>
      </w:r>
    </w:p>
    <w:p w14:paraId="42A8409C" w14:textId="77777777" w:rsidR="00BC2F53" w:rsidRDefault="00000000">
      <w:pPr>
        <w:pStyle w:val="ListBullet"/>
      </w:pPr>
      <w:r>
        <w:t>Image analysis (HiTiF)</w:t>
      </w:r>
    </w:p>
    <w:sectPr w:rsidR="00BC2F53" w:rsidSect="00034616">
      <w:pgSz w:w="12240" w:h="15840"/>
      <w:pgMar w:top="1080"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3491771">
    <w:abstractNumId w:val="8"/>
  </w:num>
  <w:num w:numId="2" w16cid:durableId="1144850888">
    <w:abstractNumId w:val="6"/>
  </w:num>
  <w:num w:numId="3" w16cid:durableId="1879780943">
    <w:abstractNumId w:val="5"/>
  </w:num>
  <w:num w:numId="4" w16cid:durableId="1813668959">
    <w:abstractNumId w:val="4"/>
  </w:num>
  <w:num w:numId="5" w16cid:durableId="1941454150">
    <w:abstractNumId w:val="7"/>
  </w:num>
  <w:num w:numId="6" w16cid:durableId="1144813148">
    <w:abstractNumId w:val="3"/>
  </w:num>
  <w:num w:numId="7" w16cid:durableId="631519934">
    <w:abstractNumId w:val="2"/>
  </w:num>
  <w:num w:numId="8" w16cid:durableId="1897737110">
    <w:abstractNumId w:val="1"/>
  </w:num>
  <w:num w:numId="9" w16cid:durableId="99361070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54320"/>
    <w:rsid w:val="00786299"/>
    <w:rsid w:val="009C034C"/>
    <w:rsid w:val="00AA1D8D"/>
    <w:rsid w:val="00B47730"/>
    <w:rsid w:val="00BC2F53"/>
    <w:rsid w:val="00CB0664"/>
    <w:rsid w:val="00E5344D"/>
    <w:rsid w:val="00E74EB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142D93"/>
  <w14:defaultImageDpi w14:val="300"/>
  <w15:docId w15:val="{548C765D-2565-F24B-B5B5-A020D3412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SOP_009b_T7_Library_Preparation.html" TargetMode="External"/><Relationship Id="rId3" Type="http://schemas.openxmlformats.org/officeDocument/2006/relationships/styles" Target="styles.xml"/><Relationship Id="rId7" Type="http://schemas.openxmlformats.org/officeDocument/2006/relationships/hyperlink" Target="SOP_003_Lentivirus_Production.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SOP_002_Isolating_Monoclonal_Cell_Populations.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SOP_011_Imaging_Using_Nikon_Ti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514</Words>
  <Characters>3120</Characters>
  <Application>Microsoft Office Word</Application>
  <DocSecurity>0</DocSecurity>
  <Lines>66</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Foley, Jason (NIH/NCI) [E]</cp:lastModifiedBy>
  <cp:revision>5</cp:revision>
  <dcterms:created xsi:type="dcterms:W3CDTF">2013-12-23T23:15:00Z</dcterms:created>
  <dcterms:modified xsi:type="dcterms:W3CDTF">2026-07-17T18:17:00Z</dcterms:modified>
  <cp:category/>
</cp:coreProperties>
</file>