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SOP_005: Lentivirus Transduction</w:t>
      </w:r>
    </w:p>
    <w:p>
      <w:r>
        <w:t>Standard Operating Procedure for Lentiviral Transduction of Target Cells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efficiently transduce target cells with lentivirus using spinfection methodology for generation of stable cell lines or pooled CRISPR libraries.</w:t>
      </w:r>
    </w:p>
    <w:p>
      <w:pPr>
        <w:pStyle w:val="Heading3"/>
      </w:pPr>
      <w:r>
        <w:t>1.2 Scope</w:t>
      </w:r>
    </w:p>
    <w:p>
      <w:r>
        <w:t>This protocol covers lentiviral transduction using predetermined MOI from titration experiments, including spinfection, antibiotic selection, and expansion of transduced cell populations.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Lentiviral preparation with known titer (SOP_003, SOP_004)</w:t>
      </w:r>
    </w:p>
    <w:p>
      <w:pPr>
        <w:pStyle w:val="ListBullet"/>
      </w:pPr>
      <w:r>
        <w:t>Target cell line (Cas9-expressing for CRISPR applications)</w:t>
      </w:r>
    </w:p>
    <w:p>
      <w:pPr>
        <w:pStyle w:val="ListBullet"/>
      </w:pPr>
      <w:r>
        <w:t>Established kill curve for selection antibiotic</w:t>
      </w:r>
    </w:p>
    <w:p>
      <w:pPr>
        <w:pStyle w:val="ListBullet"/>
      </w:pPr>
      <w:r>
        <w:t>BSL-2 training and certification</w:t>
      </w:r>
    </w:p>
    <w:p>
      <w:pPr>
        <w:pStyle w:val="ListBullet"/>
      </w:pPr>
      <w:r>
        <w:t>Understanding of MOI and library representation requirements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Centrifuge with plate carriers (capable of 930×g at 33°C)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Cell culture hood (BSL-2 certified)</w:t>
      </w:r>
    </w:p>
    <w:p>
      <w:pPr>
        <w:pStyle w:val="ListBullet"/>
      </w:pPr>
      <w:r>
        <w:t>Hemocytometer or automated cell counter</w:t>
      </w:r>
    </w:p>
    <w:p>
      <w:pPr>
        <w:pStyle w:val="ListBullet"/>
      </w:pPr>
      <w:r>
        <w:t>12-well tissue culture plates</w:t>
      </w:r>
    </w:p>
    <w:p>
      <w:pPr>
        <w:pStyle w:val="ListBullet"/>
      </w:pPr>
      <w:r>
        <w:t>T75/T225 flasks for expansion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Lentivirus aliquot</w:t>
            </w:r>
          </w:p>
        </w:tc>
        <w:tc>
          <w:tcPr>
            <w:tcW w:type="dxa" w:w="1728"/>
          </w:tcPr>
          <w:p>
            <w:r>
              <w:t>SOP_003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-80°C</w:t>
            </w:r>
          </w:p>
        </w:tc>
        <w:tc>
          <w:tcPr>
            <w:tcW w:type="dxa" w:w="1728"/>
          </w:tcPr>
          <w:p>
            <w:r>
              <w:t>Known titer required</w:t>
            </w:r>
          </w:p>
        </w:tc>
      </w:tr>
      <w:tr>
        <w:tc>
          <w:tcPr>
            <w:tcW w:type="dxa" w:w="1728"/>
          </w:tcPr>
          <w:p>
            <w:r>
              <w:t>Polybrene</w:t>
            </w:r>
          </w:p>
        </w:tc>
        <w:tc>
          <w:tcPr>
            <w:tcW w:type="dxa" w:w="1728"/>
          </w:tcPr>
          <w:p>
            <w:r>
              <w:t>Sigma-Aldrich</w:t>
            </w:r>
          </w:p>
        </w:tc>
        <w:tc>
          <w:tcPr>
            <w:tcW w:type="dxa" w:w="1728"/>
          </w:tcPr>
          <w:p>
            <w:r>
              <w:t>H9268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4-8 µg/mL working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Selection antibiotic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12-well plates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3513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PBS sterile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Trypsin-EDTA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25200056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2"/>
      </w:pPr>
      <w:r>
        <w:t>3 Reagent Preparation</w:t>
      </w:r>
    </w:p>
    <w:p>
      <w:pPr>
        <w:pStyle w:val="Heading3"/>
      </w:pPr>
      <w:r>
        <w:t>3.1 Polybrene-Containing Media</w:t>
      </w:r>
    </w:p>
    <w:p>
      <w:r>
        <w:t>Working concentration: 4-8 µg/mL (optimize for cell line)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Volume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Complete media</w:t>
            </w:r>
          </w:p>
        </w:tc>
        <w:tc>
          <w:tcPr>
            <w:tcW w:type="dxa" w:w="2880"/>
          </w:tcPr>
          <w:p>
            <w:r>
              <w:t>50 mL</w:t>
            </w:r>
          </w:p>
        </w:tc>
        <w:tc>
          <w:tcPr>
            <w:tcW w:type="dxa" w:w="2880"/>
          </w:tcPr>
          <w:p>
            <w:r>
              <w:t>Pre-warmed to 37°C</w:t>
            </w:r>
          </w:p>
        </w:tc>
      </w:tr>
      <w:tr>
        <w:tc>
          <w:tcPr>
            <w:tcW w:type="dxa" w:w="2880"/>
          </w:tcPr>
          <w:p>
            <w:r>
              <w:t>Polybrene (10 mg/mL)</w:t>
            </w:r>
          </w:p>
        </w:tc>
        <w:tc>
          <w:tcPr>
            <w:tcW w:type="dxa" w:w="2880"/>
          </w:tcPr>
          <w:p>
            <w:r>
              <w:t>20-40 µL</w:t>
            </w:r>
          </w:p>
        </w:tc>
        <w:tc>
          <w:tcPr>
            <w:tcW w:type="dxa" w:w="2880"/>
          </w:tcPr>
          <w:p>
            <w:r>
              <w:t>For 4-8 µg/mL final</w:t>
            </w:r>
          </w:p>
        </w:tc>
      </w:tr>
    </w:tbl>
    <w:p>
      <w:pPr>
        <w:pStyle w:val="Heading2"/>
      </w:pPr>
      <w:r>
        <w:t>4 Procedure</w:t>
      </w:r>
    </w:p>
    <w:p>
      <w:pPr>
        <w:pStyle w:val="ListBullet"/>
      </w:pPr>
      <w:r>
        <w:t>Work in BSL-2 certified biosafety cabinet</w:t>
      </w:r>
    </w:p>
    <w:p>
      <w:pPr>
        <w:pStyle w:val="ListBullet"/>
      </w:pPr>
      <w:r>
        <w:t>Wear double nitrile gloves and face mask when handling virus</w:t>
      </w:r>
    </w:p>
    <w:p>
      <w:pPr>
        <w:pStyle w:val="ListBullet"/>
      </w:pPr>
      <w:r>
        <w:t>Decontaminate all materials with 10% bleach before disposal</w:t>
      </w:r>
    </w:p>
    <w:p>
      <w:pPr>
        <w:pStyle w:val="ListBullet"/>
      </w:pPr>
      <w:r>
        <w:t>Viral spill: Absorb with paper towels, apply 10% bleach for 30 minutes</w:t>
      </w:r>
    </w:p>
    <w:p>
      <w:pPr>
        <w:pStyle w:val="Heading3"/>
      </w:pPr>
      <w:r>
        <w:t>4.1 Pre-Transduction Calculations</w:t>
      </w:r>
    </w:p>
    <w:p>
      <w:r>
        <w:t>Required calculations before starting:</w:t>
      </w:r>
    </w:p>
    <w:p>
      <w:pPr>
        <w:pStyle w:val="ListNumber"/>
      </w:pPr>
      <w:r>
        <w:t>Virus Volume Calculation:</w:t>
      </w:r>
    </w:p>
    <w:p>
      <w:pPr>
        <w:pStyle w:val="ListNumber"/>
      </w:pPr>
      <w:r>
        <w:t>Total Input Cells Calculation:</w:t>
      </w:r>
    </w:p>
    <w:p>
      <w:r>
        <w:t>Target MOI = 0.1 (standard for single integration)</w:t>
      </w:r>
    </w:p>
    <w:p>
      <w:pPr>
        <w:pStyle w:val="ListNumber"/>
      </w:pPr>
      <w:r>
        <w:t>Number of Wells Calculation:</w:t>
      </w:r>
    </w:p>
    <w:p>
      <w:r>
        <w:t>Example for CRISPR library transduction:</w:t>
      </w:r>
    </w:p>
    <w:p>
      <w:pPr>
        <w:pStyle w:val="ListBullet"/>
      </w:pPr>
      <w:r>
        <w:t>Target transduced cells: 500,000 (for 1000 sgRNA library at 500× representation)</w:t>
      </w:r>
    </w:p>
    <w:p>
      <w:pPr>
        <w:pStyle w:val="ListBullet"/>
      </w:pPr>
      <w:r>
        <w:t>Target MOI: 0.1</w:t>
      </w:r>
    </w:p>
    <w:p>
      <w:pPr>
        <w:pStyle w:val="ListBullet"/>
      </w:pPr>
      <w:r>
        <w:t>Total input cells: 500,000 / 0.1 = 5,000,000</w:t>
      </w:r>
    </w:p>
    <w:p>
      <w:pPr>
        <w:pStyle w:val="ListBullet"/>
      </w:pPr>
      <w:r>
        <w:t>Cells per well (12-well): ~250,000 at 90-95% confluence</w:t>
      </w:r>
    </w:p>
    <w:p>
      <w:pPr>
        <w:pStyle w:val="ListBullet"/>
      </w:pPr>
      <w:r>
        <w:t>Number of wells: 5,000,000 / 250,000 = 20 wells</w:t>
      </w:r>
    </w:p>
    <w:p>
      <w:pPr>
        <w:pStyle w:val="ListBullet"/>
      </w:pPr>
      <w:r>
        <w:t>Viral titer: 2.5 × 10⁶ TU/mL (example)</w:t>
      </w:r>
    </w:p>
    <w:p>
      <w:pPr>
        <w:pStyle w:val="ListBullet"/>
      </w:pPr>
      <w:r>
        <w:t>Virus volume: 500,000 / 2,500 TU/µL = 200 µL</w:t>
      </w:r>
    </w:p>
    <w:p>
      <w:pPr>
        <w:pStyle w:val="Heading3"/>
      </w:pPr>
      <w:r>
        <w:t>4.2 Day 1: Transduction Setup</w:t>
      </w:r>
    </w:p>
    <w:p>
      <w:r>
        <w:t>Time Required: 4-5 hours Temperature: 33°C for spinfection, 37°C for culture</w:t>
      </w:r>
    </w:p>
    <w:p>
      <w:pPr>
        <w:pStyle w:val="ListNumber"/>
      </w:pPr>
      <w:r>
        <w:t>Virus Preparation Thaw lentiviral aliquot(s) at room temperature Calculate total virus volume needed ⚠️ Critical Point: Keep virus on ice once thawed</w:t>
      </w:r>
    </w:p>
    <w:p>
      <w:pPr>
        <w:pStyle w:val="ListNumber"/>
      </w:pPr>
      <w:r>
        <w:t>Cell Preparation Trypsinize and count Cas9-expressing cells ✅ Quality Check: Verify &gt;95% viability Calculate total cells needed based on pre-transduction calculations</w:t>
      </w:r>
    </w:p>
    <w:p>
      <w:pPr>
        <w:pStyle w:val="ListNumber"/>
      </w:pPr>
      <w:r>
        <w:t>Plate Setup Seed calculated number of cells into 12-well plates Use 1 mL polybrene-containing media per well Add additional 1 mL polybrene-containing media (2 mL total per well) Target 90-95% confluency immediately after spinfection Include untransduced control well(s)</w:t>
      </w:r>
    </w:p>
    <w:p>
      <w:pPr>
        <w:pStyle w:val="ListNumber"/>
      </w:pPr>
      <w:r>
        <w:t>Virus Addition Distribute calculated virus volume across all transduction wells Add virus corresponding to MOI = 0.1 per well Leave control well(s) without virus Mix thoroughly by gentle pipetting</w:t>
      </w:r>
    </w:p>
    <w:p>
      <w:pPr>
        <w:pStyle w:val="ListNumber"/>
      </w:pPr>
      <w:r>
        <w:t>Spinfection Centrifuge plates at 930×g for 2 hours at 33°C ⚠️ Safety Note: Ensure plates are properly balanced</w:t>
      </w:r>
    </w:p>
    <w:p>
      <w:pPr>
        <w:pStyle w:val="ListNumber"/>
      </w:pPr>
      <w:r>
        <w:t>Post-Spinfection Add 2 mL fresh media (without polybrene) to each well Transfer to 37°C, 5% CO₂ incubator</w:t>
      </w:r>
    </w:p>
    <w:p>
      <w:pPr>
        <w:pStyle w:val="Heading3"/>
      </w:pPr>
      <w:r>
        <w:t>4.3 Day 2: Pooling and Selection</w:t>
      </w:r>
    </w:p>
    <w:p>
      <w:r>
        <w:t>Time Required: 2-3 hours Temperature: 37°C</w:t>
      </w:r>
    </w:p>
    <w:p>
      <w:pPr>
        <w:pStyle w:val="ListNumber"/>
      </w:pPr>
      <w:r>
        <w:t>Cell Pooling 24 hours post-spinfection, trypsinize all transduced wells Combine all transduced cells into single pool Count total cells ⚠️ Critical Point: Maintain minimum target cell number for library representation</w:t>
      </w:r>
    </w:p>
    <w:p>
      <w:pPr>
        <w:pStyle w:val="ListNumber"/>
      </w:pPr>
      <w:r>
        <w:t>Selection Setup Seed pooled cells into T75 or T225 flask Add selection antibiotic at predetermined concentration Seed untransduced control cells separately with antibiotic ✅ Quality Check: Verify proper cell density for expansion</w:t>
      </w:r>
    </w:p>
    <w:p>
      <w:pPr>
        <w:pStyle w:val="Heading3"/>
      </w:pPr>
      <w:r>
        <w:t>4.4 Days 2-7: Selection and Monitoring</w:t>
      </w:r>
    </w:p>
    <w:p>
      <w:r>
        <w:t>Time Required: 30 minutes daily Temperature: 37°C</w:t>
      </w:r>
    </w:p>
    <w:p>
      <w:pPr>
        <w:pStyle w:val="ListNumber"/>
      </w:pPr>
      <w:r>
        <w:t>Selection Monitoring Monitor untransduced control well daily Complete cell death typically occurs within 2-3 days (for puromycin) ⚠️ Critical Point: Complete control death confirms effective selection</w:t>
      </w:r>
    </w:p>
    <w:p>
      <w:pPr>
        <w:pStyle w:val="ListNumber"/>
      </w:pPr>
      <w:r>
        <w:t>Media Changes Change media with fresh antibiotic-containing media every 2-3 days Monitor transduced cell health and growth ✅ Quality Check: Transduced cells should show healthy growth</w:t>
      </w:r>
    </w:p>
    <w:p>
      <w:pPr>
        <w:pStyle w:val="Heading3"/>
      </w:pPr>
      <w:r>
        <w:t>4.5 Days 7+: Expansion and Validation</w:t>
      </w:r>
    </w:p>
    <w:p>
      <w:r>
        <w:t>Time Required: Variable Temperature: 37°C</w:t>
      </w:r>
    </w:p>
    <w:p>
      <w:pPr>
        <w:pStyle w:val="ListNumber"/>
      </w:pPr>
      <w:r>
        <w:t>Verification of Selection Confirm complete death of untransduced control cells Document timeline of selection completion</w:t>
      </w:r>
    </w:p>
    <w:p>
      <w:pPr>
        <w:pStyle w:val="ListNumber"/>
      </w:pPr>
      <w:r>
        <w:t>Cell Expansion Passage transduced cells as needed Maintain in selection media during expansion ⚠️ Critical Point: Always maintain minimum cell numbers for library representation For CRISPR libraries: maintain &gt;target transduced cell number at all times</w:t>
      </w:r>
    </w:p>
    <w:p>
      <w:pPr>
        <w:pStyle w:val="ListNumber"/>
      </w:pPr>
      <w:r>
        <w:t>Library Validation (for CRISPR applications) Proceed to SOP_008 for sgRNA representation analysis Validate library before downstream applications</w:t>
      </w:r>
    </w:p>
    <w:p>
      <w:pPr>
        <w:pStyle w:val="Heading2"/>
      </w:pPr>
      <w:r>
        <w:t>5 Quality Control and Validation</w:t>
      </w:r>
    </w:p>
    <w:p>
      <w:pPr>
        <w:pStyle w:val="Heading3"/>
      </w:pPr>
      <w:r>
        <w:t>5.1 Critical Control Points</w:t>
      </w:r>
    </w:p>
    <w:p>
      <w:pPr>
        <w:pStyle w:val="ListBullet"/>
      </w:pPr>
      <w:r>
        <w:t>CCP 1: Cell viability &gt;95% before transduction</w:t>
      </w:r>
    </w:p>
    <w:p>
      <w:pPr>
        <w:pStyle w:val="ListBullet"/>
      </w:pPr>
      <w:r>
        <w:t>CCP 2: Accurate MOI calculation (target 0.1)</w:t>
      </w:r>
    </w:p>
    <w:p>
      <w:pPr>
        <w:pStyle w:val="ListBullet"/>
      </w:pPr>
      <w:r>
        <w:t>CCP 3: Complete untransduced control death</w:t>
      </w:r>
    </w:p>
    <w:p>
      <w:pPr>
        <w:pStyle w:val="ListBullet"/>
      </w:pPr>
      <w:r>
        <w:t>CCP 4: Minimum cell number maintained for library representation</w:t>
      </w:r>
    </w:p>
    <w:p>
      <w:pPr>
        <w:pStyle w:val="ListBullet"/>
      </w:pPr>
      <w:r>
        <w:t>CCP 5: Healthy cell morphology throughout expansion</w:t>
      </w:r>
    </w:p>
    <w:p>
      <w:pPr>
        <w:pStyle w:val="Heading3"/>
      </w:pPr>
      <w:r>
        <w:t>5.2 Expected Results</w:t>
      </w:r>
    </w:p>
    <w:p>
      <w:pPr>
        <w:pStyle w:val="ListBullet"/>
      </w:pPr>
      <w:r>
        <w:t>Successful transduction at target MOI</w:t>
      </w:r>
    </w:p>
    <w:p>
      <w:pPr>
        <w:pStyle w:val="ListBullet"/>
      </w:pPr>
      <w:r>
        <w:t>Complete selection of untransduced control within 2-3 days</w:t>
      </w:r>
    </w:p>
    <w:p>
      <w:pPr>
        <w:pStyle w:val="ListBullet"/>
      </w:pPr>
      <w:r>
        <w:t>Healthy expansion of transduced cells</w:t>
      </w:r>
    </w:p>
    <w:p>
      <w:pPr>
        <w:pStyle w:val="ListBullet"/>
      </w:pPr>
      <w:r>
        <w:t>For libraries: maintained sgRNA representation</w:t>
      </w:r>
    </w:p>
    <w:p>
      <w:pPr>
        <w:pStyle w:val="Heading3"/>
      </w:pPr>
      <w:r>
        <w:t>5.3 Acceptance Criteria</w:t>
      </w:r>
    </w:p>
    <w:p>
      <w:pPr>
        <w:pStyle w:val="ListBullet"/>
      </w:pPr>
      <w:r>
        <w:t>MOI calculation verified from titration data</w:t>
      </w:r>
    </w:p>
    <w:p>
      <w:pPr>
        <w:pStyle w:val="ListBullet"/>
      </w:pPr>
      <w:r>
        <w:t>Selection complete (untransduced control dead)</w:t>
      </w:r>
    </w:p>
    <w:p>
      <w:pPr>
        <w:pStyle w:val="ListBullet"/>
      </w:pPr>
      <w:r>
        <w:t>Cell viability &gt;90% throughout expansion</w:t>
      </w:r>
    </w:p>
    <w:p>
      <w:pPr>
        <w:pStyle w:val="ListBullet"/>
      </w:pPr>
      <w:r>
        <w:t>For libraries: NGS validation shows &lt;3-fold variation</w:t>
      </w:r>
    </w:p>
    <w:p>
      <w:pPr>
        <w:pStyle w:val="Heading3"/>
      </w:pPr>
      <w:r>
        <w:t>5.4 Documentation Requirements</w:t>
      </w:r>
    </w:p>
    <w:p>
      <w:pPr>
        <w:pStyle w:val="ListBullet"/>
      </w:pPr>
      <w:r>
        <w:t>Record virus lot and titer used</w:t>
      </w:r>
    </w:p>
    <w:p>
      <w:pPr>
        <w:pStyle w:val="ListBullet"/>
      </w:pPr>
      <w:r>
        <w:t>Document MOI and cell numbers at each step</w:t>
      </w:r>
    </w:p>
    <w:p>
      <w:pPr>
        <w:pStyle w:val="ListBullet"/>
      </w:pPr>
      <w:r>
        <w:t>Track passage history of transduced cells</w:t>
      </w:r>
    </w:p>
    <w:p>
      <w:pPr>
        <w:pStyle w:val="ListBullet"/>
      </w:pPr>
      <w:r>
        <w:t>For libraries: maintain representation calculations</w:t>
      </w:r>
    </w:p>
    <w:p>
      <w:pPr>
        <w:pStyle w:val="Heading2"/>
      </w:pPr>
      <w:r>
        <w:t>6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Low transduction</w:t>
            </w:r>
          </w:p>
        </w:tc>
        <w:tc>
          <w:tcPr>
            <w:tcW w:type="dxa" w:w="2160"/>
          </w:tcPr>
          <w:p>
            <w:r>
              <w:t>Degraded virus</w:t>
            </w:r>
          </w:p>
        </w:tc>
        <w:tc>
          <w:tcPr>
            <w:tcW w:type="dxa" w:w="2160"/>
          </w:tcPr>
          <w:p>
            <w:r>
              <w:t>Use fresh viral aliquot</w:t>
            </w:r>
          </w:p>
        </w:tc>
        <w:tc>
          <w:tcPr>
            <w:tcW w:type="dxa" w:w="2160"/>
          </w:tcPr>
          <w:p>
            <w:r>
              <w:t>Proper -80°C storage</w:t>
            </w:r>
          </w:p>
        </w:tc>
      </w:tr>
      <w:tr>
        <w:tc>
          <w:tcPr>
            <w:tcW w:type="dxa" w:w="2160"/>
          </w:tcPr>
          <w:p>
            <w:r>
              <w:t>High cell death</w:t>
            </w:r>
          </w:p>
        </w:tc>
        <w:tc>
          <w:tcPr>
            <w:tcW w:type="dxa" w:w="2160"/>
          </w:tcPr>
          <w:p>
            <w:r>
              <w:t>MOI too high</w:t>
            </w:r>
          </w:p>
        </w:tc>
        <w:tc>
          <w:tcPr>
            <w:tcW w:type="dxa" w:w="2160"/>
          </w:tcPr>
          <w:p>
            <w:r>
              <w:t>Reduce virus volume</w:t>
            </w:r>
          </w:p>
        </w:tc>
        <w:tc>
          <w:tcPr>
            <w:tcW w:type="dxa" w:w="2160"/>
          </w:tcPr>
          <w:p>
            <w:r>
              <w:t>Accurate titration</w:t>
            </w:r>
          </w:p>
        </w:tc>
      </w:tr>
      <w:tr>
        <w:tc>
          <w:tcPr>
            <w:tcW w:type="dxa" w:w="2160"/>
          </w:tcPr>
          <w:p>
            <w:r>
              <w:t>Incomplete selection</w:t>
            </w:r>
          </w:p>
        </w:tc>
        <w:tc>
          <w:tcPr>
            <w:tcW w:type="dxa" w:w="2160"/>
          </w:tcPr>
          <w:p>
            <w:r>
              <w:t>Antibiotic too low</w:t>
            </w:r>
          </w:p>
        </w:tc>
        <w:tc>
          <w:tcPr>
            <w:tcW w:type="dxa" w:w="2160"/>
          </w:tcPr>
          <w:p>
            <w:r>
              <w:t>Increase concentration</w:t>
            </w:r>
          </w:p>
        </w:tc>
        <w:tc>
          <w:tcPr>
            <w:tcW w:type="dxa" w:w="2160"/>
          </w:tcPr>
          <w:p>
            <w:r>
              <w:t>Establish proper kill curve</w:t>
            </w:r>
          </w:p>
        </w:tc>
      </w:tr>
      <w:tr>
        <w:tc>
          <w:tcPr>
            <w:tcW w:type="dxa" w:w="2160"/>
          </w:tcPr>
          <w:p>
            <w:r>
              <w:t>Poor cell growth</w:t>
            </w:r>
          </w:p>
        </w:tc>
        <w:tc>
          <w:tcPr>
            <w:tcW w:type="dxa" w:w="2160"/>
          </w:tcPr>
          <w:p>
            <w:r>
              <w:t>Selection stress</w:t>
            </w:r>
          </w:p>
        </w:tc>
        <w:tc>
          <w:tcPr>
            <w:tcW w:type="dxa" w:w="2160"/>
          </w:tcPr>
          <w:p>
            <w:r>
              <w:t>Reduce antibiotic, improve media</w:t>
            </w:r>
          </w:p>
        </w:tc>
        <w:tc>
          <w:tcPr>
            <w:tcW w:type="dxa" w:w="2160"/>
          </w:tcPr>
          <w:p>
            <w:r>
              <w:t>Optimize conditions</w:t>
            </w:r>
          </w:p>
        </w:tc>
      </w:tr>
      <w:tr>
        <w:tc>
          <w:tcPr>
            <w:tcW w:type="dxa" w:w="2160"/>
          </w:tcPr>
          <w:p>
            <w:r>
              <w:t>Loss of representation</w:t>
            </w:r>
          </w:p>
        </w:tc>
        <w:tc>
          <w:tcPr>
            <w:tcW w:type="dxa" w:w="2160"/>
          </w:tcPr>
          <w:p>
            <w:r>
              <w:t>Cell bottleneck</w:t>
            </w:r>
          </w:p>
        </w:tc>
        <w:tc>
          <w:tcPr>
            <w:tcW w:type="dxa" w:w="2160"/>
          </w:tcPr>
          <w:p>
            <w:r>
              <w:t>Increase cell numbers</w:t>
            </w:r>
          </w:p>
        </w:tc>
        <w:tc>
          <w:tcPr>
            <w:tcW w:type="dxa" w:w="2160"/>
          </w:tcPr>
          <w:p>
            <w:r>
              <w:t>Monitor counts carefully</w:t>
            </w:r>
          </w:p>
        </w:tc>
      </w:tr>
      <w:tr>
        <w:tc>
          <w:tcPr>
            <w:tcW w:type="dxa" w:w="2160"/>
          </w:tcPr>
          <w:p>
            <w:r>
              <w:t>Inconsistent results</w:t>
            </w:r>
          </w:p>
        </w:tc>
        <w:tc>
          <w:tcPr>
            <w:tcW w:type="dxa" w:w="2160"/>
          </w:tcPr>
          <w:p>
            <w:r>
              <w:t>Variable spinfection</w:t>
            </w:r>
          </w:p>
        </w:tc>
        <w:tc>
          <w:tcPr>
            <w:tcW w:type="dxa" w:w="2160"/>
          </w:tcPr>
          <w:p>
            <w:r>
              <w:t>Check centrifuge conditions</w:t>
            </w:r>
          </w:p>
        </w:tc>
        <w:tc>
          <w:tcPr>
            <w:tcW w:type="dxa" w:w="2160"/>
          </w:tcPr>
          <w:p>
            <w:r>
              <w:t>Calibrate equipment</w:t>
            </w:r>
          </w:p>
        </w:tc>
      </w:tr>
    </w:tbl>
    <w:p>
      <w:pPr>
        <w:pStyle w:val="Heading2"/>
      </w:pPr>
      <w:r>
        <w:t>7 References and Related Documents</w:t>
      </w:r>
    </w:p>
    <w:p>
      <w:pPr>
        <w:pStyle w:val="Heading3"/>
      </w:pPr>
      <w:r>
        <w:t>7.1 Related SOPs</w:t>
      </w:r>
    </w:p>
    <w:p>
      <w:pPr>
        <w:pStyle w:val="ListBullet"/>
      </w:pPr>
      <w:r>
        <w:t>SOP_003: Lentivirus Production</w:t>
      </w:r>
    </w:p>
    <w:p>
      <w:pPr>
        <w:pStyle w:val="ListBullet"/>
      </w:pPr>
      <w:r>
        <w:t>SOP_004: Lentivirus Titration</w:t>
      </w:r>
    </w:p>
    <w:p>
      <w:pPr>
        <w:pStyle w:val="ListBullet"/>
      </w:pPr>
      <w:r>
        <w:t>SOP_007: Generation of Cell Libraries for OPS</w:t>
      </w:r>
    </w:p>
    <w:p>
      <w:pPr>
        <w:pStyle w:val="ListBullet"/>
      </w:pPr>
      <w:r>
        <w:t>SOP_008: CRISPR Library Validation</w:t>
      </w:r>
    </w:p>
    <w:p>
      <w:pPr>
        <w:pStyle w:val="Heading3"/>
      </w:pPr>
      <w:r>
        <w:t>7.2 Literature References</w:t>
      </w:r>
    </w:p>
    <w:p>
      <w:pPr>
        <w:pStyle w:val="ListNumber"/>
      </w:pPr>
      <w:r>
        <w:t>O’Doherty, U. et al. Human immunodeficiency virus type 1 spinoculation enhances infection. J Virol. 2000.</w:t>
      </w:r>
    </w:p>
    <w:p>
      <w:pPr>
        <w:pStyle w:val="ListNumber"/>
      </w:pPr>
      <w:r>
        <w:t>Doench, J.G. et al. Optimized sgRNA design. Nat Biotechnol. 2016.</w:t>
      </w:r>
    </w:p>
    <w:p>
      <w:pPr>
        <w:pStyle w:val="Heading2"/>
      </w:pPr>
      <w:r>
        <w:t>8 Appendices</w:t>
      </w:r>
    </w:p>
    <w:p>
      <w:pPr>
        <w:pStyle w:val="Heading3"/>
      </w:pPr>
      <w:r>
        <w:t>8.1 MOI and Cell Number Calculations</w:t>
      </w:r>
    </w:p>
    <w:p>
      <w:r>
        <w:t>Standard formulas:</w:t>
      </w:r>
    </w:p>
    <w:p>
      <w:r>
        <w:t>Library representation example:</w:t>
      </w:r>
    </w:p>
    <w:p>
      <w:r>
        <w:t>For 1,000 sgRNA library at 500× representation: - Target transduced cells = 1,000 × 500 = 500,000 - At MOI 0.1: Input cells = 500,000 / 0.1 = 5,000,000 - At titer 2.5 × 10⁶ TU/mL: Virus volume = 500,000 / 2,500 = 200 µL</w:t>
      </w:r>
    </w:p>
    <w:p>
      <w:pPr>
        <w:pStyle w:val="Heading3"/>
      </w:pPr>
      <w:r>
        <w:t>8.2 Cell Density Guidelines</w:t>
      </w:r>
    </w:p>
    <w:p>
      <w:r>
        <w:t>12-well plate: - 90-95% confluence: ~200,000-300,000 cells/well - Adjust based on cell line growth characteristics</w:t>
      </w:r>
    </w:p>
    <w:p>
      <w:r>
        <w:t>Flask capacities: - T75: ~5-10 × 10⁶ cells at confluence - T225: ~15-30 × 10⁶ cells at confluence</w:t>
      </w:r>
    </w:p>
    <w:p>
      <w:pPr>
        <w:pStyle w:val="Heading3"/>
      </w:pPr>
      <w:r>
        <w:t>8.3 Transduction Planning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Parameter</w:t>
            </w:r>
          </w:p>
        </w:tc>
        <w:tc>
          <w:tcPr>
            <w:tcW w:type="dxa" w:w="2880"/>
          </w:tcPr>
          <w:p>
            <w:r>
              <w:t>Value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Library complexity</w:t>
            </w:r>
          </w:p>
        </w:tc>
        <w:tc>
          <w:tcPr>
            <w:tcW w:type="dxa" w:w="2880"/>
          </w:tcPr>
          <w:p>
            <w:r>
              <w:t>_____ sgRNAs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Target representation</w:t>
            </w:r>
          </w:p>
        </w:tc>
        <w:tc>
          <w:tcPr>
            <w:tcW w:type="dxa" w:w="2880"/>
          </w:tcPr>
          <w:p>
            <w:r>
              <w:t>_____×</w:t>
            </w:r>
          </w:p>
        </w:tc>
        <w:tc>
          <w:tcPr>
            <w:tcW w:type="dxa" w:w="2880"/>
          </w:tcPr>
          <w:p>
            <w:r>
              <w:t>500-1000× recommended</w:t>
            </w:r>
          </w:p>
        </w:tc>
      </w:tr>
      <w:tr>
        <w:tc>
          <w:tcPr>
            <w:tcW w:type="dxa" w:w="2880"/>
          </w:tcPr>
          <w:p>
            <w:r>
              <w:t>Target transduced cells</w:t>
            </w:r>
          </w:p>
        </w:tc>
        <w:tc>
          <w:tcPr>
            <w:tcW w:type="dxa" w:w="2880"/>
          </w:tcPr>
          <w:p>
            <w:r>
              <w:t>_____</w:t>
            </w:r>
          </w:p>
        </w:tc>
        <w:tc>
          <w:tcPr>
            <w:tcW w:type="dxa" w:w="2880"/>
          </w:tcPr>
          <w:p>
            <w:r>
              <w:t>Complexity × Representation</w:t>
            </w:r>
          </w:p>
        </w:tc>
      </w:tr>
      <w:tr>
        <w:tc>
          <w:tcPr>
            <w:tcW w:type="dxa" w:w="2880"/>
          </w:tcPr>
          <w:p>
            <w:r>
              <w:t>Target MOI</w:t>
            </w:r>
          </w:p>
        </w:tc>
        <w:tc>
          <w:tcPr>
            <w:tcW w:type="dxa" w:w="2880"/>
          </w:tcPr>
          <w:p>
            <w:r>
              <w:t>0.1</w:t>
            </w:r>
          </w:p>
        </w:tc>
        <w:tc>
          <w:tcPr>
            <w:tcW w:type="dxa" w:w="2880"/>
          </w:tcPr>
          <w:p>
            <w:r>
              <w:t>Standard for single integration</w:t>
            </w:r>
          </w:p>
        </w:tc>
      </w:tr>
      <w:tr>
        <w:tc>
          <w:tcPr>
            <w:tcW w:type="dxa" w:w="2880"/>
          </w:tcPr>
          <w:p>
            <w:r>
              <w:t>Total input cells</w:t>
            </w:r>
          </w:p>
        </w:tc>
        <w:tc>
          <w:tcPr>
            <w:tcW w:type="dxa" w:w="2880"/>
          </w:tcPr>
          <w:p>
            <w:r>
              <w:t>_____</w:t>
            </w:r>
          </w:p>
        </w:tc>
        <w:tc>
          <w:tcPr>
            <w:tcW w:type="dxa" w:w="2880"/>
          </w:tcPr>
          <w:p>
            <w:r>
              <w:t>Transduced cells / MOI</w:t>
            </w:r>
          </w:p>
        </w:tc>
      </w:tr>
      <w:tr>
        <w:tc>
          <w:tcPr>
            <w:tcW w:type="dxa" w:w="2880"/>
          </w:tcPr>
          <w:p>
            <w:r>
              <w:t>Viral titer</w:t>
            </w:r>
          </w:p>
        </w:tc>
        <w:tc>
          <w:tcPr>
            <w:tcW w:type="dxa" w:w="2880"/>
          </w:tcPr>
          <w:p>
            <w:r>
              <w:t>_____ TU/µL</w:t>
            </w:r>
          </w:p>
        </w:tc>
        <w:tc>
          <w:tcPr>
            <w:tcW w:type="dxa" w:w="2880"/>
          </w:tcPr>
          <w:p>
            <w:r>
              <w:t>From titration</w:t>
            </w:r>
          </w:p>
        </w:tc>
      </w:tr>
      <w:tr>
        <w:tc>
          <w:tcPr>
            <w:tcW w:type="dxa" w:w="2880"/>
          </w:tcPr>
          <w:p>
            <w:r>
              <w:t>Virus volume needed</w:t>
            </w:r>
          </w:p>
        </w:tc>
        <w:tc>
          <w:tcPr>
            <w:tcW w:type="dxa" w:w="2880"/>
          </w:tcPr>
          <w:p>
            <w:r>
              <w:t>_____ µL</w:t>
            </w:r>
          </w:p>
        </w:tc>
        <w:tc>
          <w:tcPr>
            <w:tcW w:type="dxa" w:w="2880"/>
          </w:tcPr>
          <w:p>
            <w:r>
              <w:t>Transduced cells / Titer</w:t>
            </w:r>
          </w:p>
        </w:tc>
      </w:tr>
      <w:tr>
        <w:tc>
          <w:tcPr>
            <w:tcW w:type="dxa" w:w="2880"/>
          </w:tcPr>
          <w:p>
            <w:r>
              <w:t>Cells per well</w:t>
            </w:r>
          </w:p>
        </w:tc>
        <w:tc>
          <w:tcPr>
            <w:tcW w:type="dxa" w:w="2880"/>
          </w:tcPr>
          <w:p>
            <w:r>
              <w:t>_____</w:t>
            </w:r>
          </w:p>
        </w:tc>
        <w:tc>
          <w:tcPr>
            <w:tcW w:type="dxa" w:w="2880"/>
          </w:tcPr>
          <w:p>
            <w:r>
              <w:t>At 90-95% confluence</w:t>
            </w:r>
          </w:p>
        </w:tc>
      </w:tr>
      <w:tr>
        <w:tc>
          <w:tcPr>
            <w:tcW w:type="dxa" w:w="2880"/>
          </w:tcPr>
          <w:p>
            <w:r>
              <w:t>Number of wells</w:t>
            </w:r>
          </w:p>
        </w:tc>
        <w:tc>
          <w:tcPr>
            <w:tcW w:type="dxa" w:w="2880"/>
          </w:tcPr>
          <w:p>
            <w:r>
              <w:t>_____</w:t>
            </w:r>
          </w:p>
        </w:tc>
        <w:tc>
          <w:tcPr>
            <w:tcW w:type="dxa" w:w="2880"/>
          </w:tcPr>
          <w:p>
            <w:r>
              <w:t>Input cells / Cells per well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