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SOP_011: Imaging Using Nikon Ti2 Microscope</w:t>
      </w:r>
    </w:p>
    <w:p>
      <w:r>
        <w:t>Standard Operating Procedure for Phenotype and ISS Image Acquisition | isabel.quintanilla@nih.gov, gianluca.pegoraro@nih.gov</w:t>
      </w:r>
    </w:p>
    <w:p>
      <w:r>
        <w:t>Isabel Quintanilla</w:t>
      </w:r>
    </w:p>
    <w:p>
      <w:r>
        <w:t>January 13, 2026</w:t>
      </w:r>
    </w:p>
    <w:p>
      <w:pPr>
        <w:pStyle w:val="Heading2"/>
      </w:pPr>
      <w:r>
        <w:t>1 Purpose and Scope</w:t>
      </w:r>
    </w:p>
    <w:p>
      <w:pPr>
        <w:pStyle w:val="Heading3"/>
      </w:pPr>
      <w:r>
        <w:t>1.1 Objective</w:t>
      </w:r>
    </w:p>
    <w:p>
      <w:r>
        <w:t>To perform high-quality phenotype and in situ sequencing (ISS) imaging using the Nikon Ti2 microscope system for Optical Pooled Screening (OPS) applications.</w:t>
      </w:r>
    </w:p>
    <w:p>
      <w:pPr>
        <w:pStyle w:val="Heading3"/>
      </w:pPr>
      <w:r>
        <w:t>1.2 Scope</w:t>
      </w:r>
    </w:p>
    <w:p>
      <w:r>
        <w:t>This protocol covers microscope startup, phenotype acquisition, ISS imaging setup, and shutdown procedures. It includes both phenotype characterization and T7-ISS imaging workflows.</w:t>
      </w:r>
    </w:p>
    <w:p>
      <w:pPr>
        <w:pStyle w:val="Heading3"/>
      </w:pPr>
      <w:r>
        <w:t>1.3 Prerequisites</w:t>
      </w:r>
    </w:p>
    <w:p>
      <w:pPr>
        <w:pStyle w:val="ListBullet"/>
      </w:pPr>
      <w:r>
        <w:t>Basic microscopy training</w:t>
      </w:r>
    </w:p>
    <w:p>
      <w:pPr>
        <w:pStyle w:val="ListBullet"/>
      </w:pPr>
      <w:r>
        <w:t>Familiarity with NIS Elements software</w:t>
      </w:r>
    </w:p>
    <w:p>
      <w:pPr>
        <w:pStyle w:val="ListBullet"/>
      </w:pPr>
      <w:r>
        <w:t>Knowledge of optical configurations</w:t>
      </w:r>
    </w:p>
    <w:p>
      <w:pPr>
        <w:pStyle w:val="ListBullet"/>
      </w:pPr>
      <w:r>
        <w:t>Understanding of JOBS pipeline workflows</w:t>
      </w:r>
    </w:p>
    <w:p>
      <w:pPr>
        <w:pStyle w:val="Heading2"/>
      </w:pPr>
      <w:r>
        <w:t>2 Materials and Equipment</w:t>
      </w:r>
    </w:p>
    <w:p>
      <w:pPr>
        <w:pStyle w:val="Heading3"/>
      </w:pPr>
      <w:r>
        <w:t>2.1 Equipment Required</w:t>
      </w:r>
    </w:p>
    <w:p>
      <w:pPr>
        <w:pStyle w:val="ListBullet"/>
      </w:pPr>
      <w:r>
        <w:t>Nikon Ti2 microscope system</w:t>
      </w:r>
    </w:p>
    <w:p>
      <w:pPr>
        <w:pStyle w:val="ListBullet"/>
      </w:pPr>
      <w:r>
        <w:t>NIS Elements software</w:t>
      </w:r>
    </w:p>
    <w:p>
      <w:pPr>
        <w:pStyle w:val="ListBullet"/>
      </w:pPr>
      <w:r>
        <w:t>Objectives: 4X, 10X, 40X, 60X (water immersion)</w:t>
      </w:r>
    </w:p>
    <w:p>
      <w:pPr>
        <w:pStyle w:val="ListBullet"/>
      </w:pPr>
      <w:r>
        <w:t>Excitation/emission filter sets</w:t>
      </w:r>
    </w:p>
    <w:p>
      <w:pPr>
        <w:pStyle w:val="ListBullet"/>
      </w:pPr>
      <w:r>
        <w:t>Incubator chamber</w:t>
      </w:r>
    </w:p>
    <w:p>
      <w:pPr>
        <w:pStyle w:val="ListBullet"/>
      </w:pPr>
      <w:r>
        <w:t>Sample plate holder</w:t>
      </w:r>
    </w:p>
    <w:p>
      <w:pPr>
        <w:pStyle w:val="ListBullet"/>
      </w:pPr>
      <w:r>
        <w:t>Water immersion delivery system (WID)</w:t>
      </w:r>
    </w:p>
    <w:p>
      <w:pPr>
        <w:pStyle w:val="Heading3"/>
      </w:pPr>
      <w:r>
        <w:t>2.2 Software Requirements</w:t>
      </w:r>
    </w:p>
    <w:p>
      <w:pPr>
        <w:pStyle w:val="ListBullet"/>
      </w:pPr>
      <w:r>
        <w:t>NIS Elements AR: Primary acquisition software</w:t>
      </w:r>
    </w:p>
    <w:p>
      <w:pPr>
        <w:pStyle w:val="ListBullet"/>
      </w:pPr>
      <w:r>
        <w:t>JOBS Explorer: Automated imaging pipeline management</w:t>
      </w:r>
    </w:p>
    <w:p>
      <w:pPr>
        <w:pStyle w:val="Heading3"/>
      </w:pPr>
      <w:r>
        <w:t>2.3 Optical Configurations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t>Application</w:t>
            </w:r>
          </w:p>
        </w:tc>
        <w:tc>
          <w:tcPr>
            <w:tcW w:type="dxa" w:w="1440"/>
          </w:tcPr>
          <w:p>
            <w:r>
              <w:t>Objective</w:t>
            </w:r>
          </w:p>
        </w:tc>
        <w:tc>
          <w:tcPr>
            <w:tcW w:type="dxa" w:w="1440"/>
          </w:tcPr>
          <w:p>
            <w:r>
              <w:t>Excitation</w:t>
            </w:r>
          </w:p>
        </w:tc>
        <w:tc>
          <w:tcPr>
            <w:tcW w:type="dxa" w:w="1440"/>
          </w:tcPr>
          <w:p>
            <w:r>
              <w:t>Emission</w:t>
            </w:r>
          </w:p>
        </w:tc>
        <w:tc>
          <w:tcPr>
            <w:tcW w:type="dxa" w:w="1440"/>
          </w:tcPr>
          <w:p>
            <w:r>
              <w:t>Exposure</w:t>
            </w:r>
          </w:p>
        </w:tc>
        <w:tc>
          <w:tcPr>
            <w:tcW w:type="dxa" w:w="1440"/>
          </w:tcPr>
          <w:p>
            <w:r>
              <w:t>Notes</w:t>
            </w:r>
          </w:p>
        </w:tc>
      </w:tr>
      <w:tr>
        <w:tc>
          <w:tcPr>
            <w:tcW w:type="dxa" w:w="1440"/>
          </w:tcPr>
          <w:p>
            <w:r>
              <w:t>DAPI</w:t>
            </w:r>
          </w:p>
        </w:tc>
        <w:tc>
          <w:tcPr>
            <w:tcW w:type="dxa" w:w="1440"/>
          </w:tcPr>
          <w:p>
            <w:r>
              <w:t>10X/40X/60X</w:t>
            </w:r>
          </w:p>
        </w:tc>
        <w:tc>
          <w:tcPr>
            <w:tcW w:type="dxa" w:w="1440"/>
          </w:tcPr>
          <w:p>
            <w:r>
              <w:t>360-370nm</w:t>
            </w:r>
          </w:p>
        </w:tc>
        <w:tc>
          <w:tcPr>
            <w:tcW w:type="dxa" w:w="1440"/>
          </w:tcPr>
          <w:p>
            <w:r>
              <w:t>435-485nm</w:t>
            </w:r>
          </w:p>
        </w:tc>
        <w:tc>
          <w:tcPr>
            <w:tcW w:type="dxa" w:w="1440"/>
          </w:tcPr>
          <w:p>
            <w:r>
              <w:t>Variable</w:t>
            </w:r>
          </w:p>
        </w:tc>
        <w:tc>
          <w:tcPr>
            <w:tcW w:type="dxa" w:w="1440"/>
          </w:tcPr>
          <w:p>
            <w:r>
              <w:t>Used for segmentation and alignment</w:t>
            </w:r>
          </w:p>
        </w:tc>
      </w:tr>
      <w:tr>
        <w:tc>
          <w:tcPr>
            <w:tcW w:type="dxa" w:w="1440"/>
          </w:tcPr>
          <w:p>
            <w:r>
              <w:t>Phenotype GFP</w:t>
            </w:r>
          </w:p>
        </w:tc>
        <w:tc>
          <w:tcPr>
            <w:tcW w:type="dxa" w:w="1440"/>
          </w:tcPr>
          <w:p>
            <w:r>
              <w:t>40X/60X</w:t>
            </w:r>
          </w:p>
        </w:tc>
        <w:tc>
          <w:tcPr>
            <w:tcW w:type="dxa" w:w="1440"/>
          </w:tcPr>
          <w:p>
            <w:r>
              <w:t>460-490nm</w:t>
            </w:r>
          </w:p>
        </w:tc>
        <w:tc>
          <w:tcPr>
            <w:tcW w:type="dxa" w:w="1440"/>
          </w:tcPr>
          <w:p>
            <w:r>
              <w:t>510-560nm</w:t>
            </w:r>
          </w:p>
        </w:tc>
        <w:tc>
          <w:tcPr>
            <w:tcW w:type="dxa" w:w="1440"/>
          </w:tcPr>
          <w:p>
            <w:r>
              <w:t>Variable</w:t>
            </w:r>
          </w:p>
        </w:tc>
        <w:tc>
          <w:tcPr>
            <w:tcW w:type="dxa" w:w="1440"/>
          </w:tcPr>
          <w:p>
            <w:r>
              <w:t>Water objective</w:t>
            </w:r>
          </w:p>
        </w:tc>
      </w:tr>
      <w:tr>
        <w:tc>
          <w:tcPr>
            <w:tcW w:type="dxa" w:w="1440"/>
          </w:tcPr>
          <w:p>
            <w:r>
              <w:t>MiSeq T7-ISS</w:t>
            </w:r>
          </w:p>
        </w:tc>
        <w:tc>
          <w:tcPr>
            <w:tcW w:type="dxa" w:w="1440"/>
          </w:tcPr>
          <w:p>
            <w:r>
              <w:t>10X</w:t>
            </w:r>
          </w:p>
        </w:tc>
        <w:tc>
          <w:tcPr>
            <w:tcW w:type="dxa" w:w="1440"/>
          </w:tcPr>
          <w:p>
            <w:r>
              <w:t>Kit specific</w:t>
            </w:r>
          </w:p>
        </w:tc>
        <w:tc>
          <w:tcPr>
            <w:tcW w:type="dxa" w:w="1440"/>
          </w:tcPr>
          <w:p>
            <w:r>
              <w:t>Kit specific</w:t>
            </w:r>
          </w:p>
        </w:tc>
        <w:tc>
          <w:tcPr>
            <w:tcW w:type="dxa" w:w="1440"/>
          </w:tcPr>
          <w:p>
            <w:r>
              <w:t>Variable</w:t>
            </w:r>
          </w:p>
        </w:tc>
        <w:tc>
          <w:tcPr>
            <w:tcW w:type="dxa" w:w="1440"/>
          </w:tcPr>
          <w:p>
            <w:r>
              <w:t>Signal optimization</w:t>
            </w:r>
          </w:p>
        </w:tc>
      </w:tr>
      <w:tr>
        <w:tc>
          <w:tcPr>
            <w:tcW w:type="dxa" w:w="1440"/>
          </w:tcPr>
          <w:p>
            <w:r>
              <w:t>NovaSeqX T7-ISS</w:t>
            </w:r>
          </w:p>
        </w:tc>
        <w:tc>
          <w:tcPr>
            <w:tcW w:type="dxa" w:w="1440"/>
          </w:tcPr>
          <w:p>
            <w:r>
              <w:t>10X</w:t>
            </w:r>
          </w:p>
        </w:tc>
        <w:tc>
          <w:tcPr>
            <w:tcW w:type="dxa" w:w="1440"/>
          </w:tcPr>
          <w:p>
            <w:r>
              <w:t>Kit specific</w:t>
            </w:r>
          </w:p>
        </w:tc>
        <w:tc>
          <w:tcPr>
            <w:tcW w:type="dxa" w:w="1440"/>
          </w:tcPr>
          <w:p>
            <w:r>
              <w:t>Kit specific</w:t>
            </w:r>
          </w:p>
        </w:tc>
        <w:tc>
          <w:tcPr>
            <w:tcW w:type="dxa" w:w="1440"/>
          </w:tcPr>
          <w:p>
            <w:r>
              <w:t>Variable</w:t>
            </w:r>
          </w:p>
        </w:tc>
        <w:tc>
          <w:tcPr>
            <w:tcW w:type="dxa" w:w="1440"/>
          </w:tcPr>
          <w:p>
            <w:r>
              <w:t>Signal optimization</w:t>
            </w:r>
          </w:p>
        </w:tc>
      </w:tr>
    </w:tbl>
    <w:p>
      <w:pPr>
        <w:pStyle w:val="Heading2"/>
      </w:pPr>
      <w:r>
        <w:t>3 System Startup Procedure</w:t>
      </w:r>
    </w:p>
    <w:p>
      <w:pPr>
        <w:pStyle w:val="Heading3"/>
      </w:pPr>
      <w:r>
        <w:t>3.1 Power-Up Sequence</w:t>
      </w:r>
    </w:p>
    <w:p>
      <w:r>
        <w:t>Time Required: 15 minutes Temperature: Room temperature</w:t>
      </w:r>
    </w:p>
    <w:p>
      <w:pPr>
        <w:pStyle w:val="ListNumber"/>
      </w:pPr>
      <w:r>
        <w:t>Main Power Switch Turn main power switch ON (located behind microscope monitor with orange sticker) ✅ Check: Power indicator LED illuminated</w:t>
      </w:r>
    </w:p>
    <w:p>
      <w:pPr>
        <w:pStyle w:val="ListNumber"/>
      </w:pPr>
      <w:r>
        <w:t>Peripheral Systems Turn incubator ON Turn lamp boxes ON ✅ Check: All status lights green</w:t>
      </w:r>
    </w:p>
    <w:p>
      <w:pPr>
        <w:pStyle w:val="ListNumber"/>
      </w:pPr>
      <w:r>
        <w:t>Microscope Systems Turn main microscope switch ON (under microscope monitor) Turn microscope and digital mirror switch ON ✅ Check: System initialization complete</w:t>
      </w:r>
    </w:p>
    <w:p>
      <w:pPr>
        <w:pStyle w:val="ListNumber"/>
      </w:pPr>
      <w:r>
        <w:t>Software Initialization Start NIS Elements software Wait for complete system recognition ⚠️ Critical Point: Do not proceed until all devices are recognized</w:t>
      </w:r>
    </w:p>
    <w:p>
      <w:pPr>
        <w:pStyle w:val="Heading3"/>
      </w:pPr>
      <w:r>
        <w:t>3.2 Sample Loading</w:t>
      </w:r>
    </w:p>
    <w:p>
      <w:pPr>
        <w:pStyle w:val="ListNumber"/>
      </w:pPr>
      <w:r>
        <w:t>Objective Positioning Press “ESC” button on the front right side of the microscope body to lower objectives ⚠️ Safety: Ensure objectives are fully lowered before sample insertion</w:t>
      </w:r>
    </w:p>
    <w:p>
      <w:pPr>
        <w:pStyle w:val="ListNumber"/>
      </w:pPr>
      <w:r>
        <w:t>Plate Installation Remove plate holder piece Place sample plate on holder Insert holder assembly into microscope ⚠️ Critical Point: Check that the plate holder assembly is fully inserted on the stage and that the plate is not wobbly Press “ESC” button to raise objectives</w:t>
      </w:r>
    </w:p>
    <w:p>
      <w:pPr>
        <w:pStyle w:val="ListNumber"/>
      </w:pPr>
      <w:r>
        <w:t>Well Navigation Setup In Well plate and Slide Navigation panel: select correct well type from dropdown Double-click to navigate between wells or within wells ✅ Check: Z-position displayed at bottom right of screen</w:t>
      </w:r>
    </w:p>
    <w:p>
      <w:pPr>
        <w:pStyle w:val="Heading2"/>
      </w:pPr>
      <w:r>
        <w:t>4 Phenotype Imaging Procedure</w:t>
      </w:r>
    </w:p>
    <w:p>
      <w:pPr>
        <w:pStyle w:val="Heading3"/>
      </w:pPr>
      <w:r>
        <w:t>4.1 Initial Sample Localization</w:t>
      </w:r>
    </w:p>
    <w:p>
      <w:r>
        <w:t>Time Required: 30 minutes Objective: 40X or 60X (water immersion)</w:t>
      </w:r>
    </w:p>
    <w:p>
      <w:pPr>
        <w:pStyle w:val="ListNumber"/>
      </w:pPr>
      <w:r>
        <w:t>Cell Finding Use Acquisition &lt; Eyepieces &lt; DAPI to locate cells ⚠️ Water Objective Setup: If using 40-60X water objective: Press “WID-Int” button to initiate water supply Remember to discharge water supply when done using “WID-Discharge”</w:t>
      </w:r>
    </w:p>
    <w:p>
      <w:pPr>
        <w:pStyle w:val="ListNumber"/>
      </w:pPr>
      <w:r>
        <w:t>Focus and Visualization Turn “PFS” (Perfect Focus System) ON Use Acquisition &lt; Camera &lt; DAPI &lt; Live to focus Use “Keep Auto Scale” button for better visualization ✅ Quality Check: Cells clearly visible and in focus</w:t>
      </w:r>
    </w:p>
    <w:p>
      <w:pPr>
        <w:pStyle w:val="Heading3"/>
      </w:pPr>
      <w:r>
        <w:t>4.2 Optical Configuration Setup</w:t>
      </w:r>
    </w:p>
    <w:p>
      <w:pPr>
        <w:pStyle w:val="ListNumber"/>
      </w:pPr>
      <w:r>
        <w:t>Custom Optical Configurations Click “Add New Optical Configuration” Set appropriate exposure time Configure excitation wavelength Set emission filter Save configuration for future use ⚠️ Critical Point: Right-click on configurations and save changes before acquisition</w:t>
      </w:r>
    </w:p>
    <w:p>
      <w:pPr>
        <w:pStyle w:val="ListNumber"/>
      </w:pPr>
      <w:r>
        <w:t>Z-Offset Calculation Focus on reference channel (typically one of the Illumina florophores for ISS or other fluorophores used for phenotype measurement) Record Z-position Switch to each additional channel Focus and record Z-position Calculate: Z-offset = (Z position of reference channel) - (Z position of other channel) 📝 Document: Record all Z-offsets for JOBS pipeline input</w:t>
      </w:r>
    </w:p>
    <w:p>
      <w:pPr>
        <w:pStyle w:val="Heading3"/>
      </w:pPr>
      <w:r>
        <w:t>4.3 Phenotype Acquisition</w:t>
      </w:r>
    </w:p>
    <w:p>
      <w:pPr>
        <w:pStyle w:val="ListNumber"/>
      </w:pPr>
      <w:r>
        <w:t>JOBS Pipeline Selection In JOBS Explorer panel: select pre-set phenotype pipeline Example: “231226-Pheno-GFP-6well-CellVis-Alignment with WID 2.0” Configure acquisition parameters Input calculated Z-offsets</w:t>
      </w:r>
    </w:p>
    <w:p>
      <w:pPr>
        <w:pStyle w:val="ListNumber"/>
      </w:pPr>
      <w:r>
        <w:t>Mask Generation for ISS Alignment Change objective to 10X Navigate to center of well A1 Locate cells using DAPI channel Generate mask: Binary &lt; Mask &lt; Generate mask by threshold Save mask: Binary &lt; Mask &lt; Save Mask 📝 Document: Note mask location for ISS re-alignment</w:t>
      </w:r>
    </w:p>
    <w:p>
      <w:pPr>
        <w:pStyle w:val="Heading2"/>
      </w:pPr>
      <w:r>
        <w:t>5 ISS Imaging Procedure</w:t>
      </w:r>
    </w:p>
    <w:p>
      <w:pPr>
        <w:pStyle w:val="Heading3"/>
      </w:pPr>
      <w:r>
        <w:t>5.1 T7-ISS Setup</w:t>
      </w:r>
    </w:p>
    <w:p>
      <w:r>
        <w:t>Time Required: 45 minutes Objective: 10X (or 4X for strong T7 signals)</w:t>
      </w:r>
    </w:p>
    <w:p>
      <w:pPr>
        <w:pStyle w:val="ListNumber"/>
      </w:pPr>
      <w:r>
        <w:t>Optical Configuration Selection Select pre-set T7-ISS configurations: MiSeq kit configurations NovaSeqX kit configurations Configure for each fluorophore being used</w:t>
      </w:r>
    </w:p>
    <w:p>
      <w:pPr>
        <w:pStyle w:val="ListNumber"/>
      </w:pPr>
      <w:r>
        <w:t>Signal Optimization Go to Acquisition &lt; Desired Optical Configuration &lt; Live Visualize cells in each fluorescent channel Signal Saturation Check: Pause live image for each channel Place cursor on signal area Check intensity value at bottom of screen ⚠️ Critical Point: Intensity must be &lt;4095 to avoid saturation If saturated: adjust exposure time and/or lamp power Save configuration changes</w:t>
      </w:r>
    </w:p>
    <w:p>
      <w:pPr>
        <w:pStyle w:val="ListNumber"/>
      </w:pPr>
      <w:r>
        <w:t>Z-Offset Calculation for ISS Repeat Z-offset calculation process as in phenotype imaging Keep reference channel in perfect focus 📝 Document: Record ISS-specific Z-offsets</w:t>
      </w:r>
    </w:p>
    <w:p>
      <w:pPr>
        <w:pStyle w:val="Heading3"/>
      </w:pPr>
      <w:r>
        <w:t>5.2 ISS JOBS Pipeline Configuration</w:t>
      </w:r>
    </w:p>
    <w:p>
      <w:pPr>
        <w:pStyle w:val="ListNumber"/>
      </w:pPr>
      <w:r>
        <w:t>Pipeline Selection Choose appropriate ISS pipeline: “OPS_PFS_v1” (PFS-based) “OPS_Software_AF_v1” (Software autofocus-based)</w:t>
      </w:r>
    </w:p>
    <w:p>
      <w:pPr>
        <w:pStyle w:val="ListNumber"/>
      </w:pPr>
      <w:r>
        <w:t>Capture Definition Setup Load optical configurations (DAPI and MiSeq/NovaSeqX) Right-click to select reference channel Input calculated Z-offsets for all channels</w:t>
      </w:r>
    </w:p>
    <w:p>
      <w:pPr>
        <w:pStyle w:val="ListNumber"/>
      </w:pPr>
      <w:r>
        <w:t>Plate Definition and Alignment Select plate type from database Re-align plate holder using center point option Load mask image from phenotype acquisition ✅ Quality Check: Verify alignment accuracy</w:t>
      </w:r>
    </w:p>
    <w:p>
      <w:pPr>
        <w:pStyle w:val="ListNumber"/>
      </w:pPr>
      <w:r>
        <w:t>Well and Point Selection Select wells for imaging Generate Points: Configure imaging area: Working area boundaries Border settings Point placement radius ⚠️ Critical Point: Use same area as phenotype imaging Confirm objective set to 10X</w:t>
      </w:r>
    </w:p>
    <w:p>
      <w:pPr>
        <w:pStyle w:val="Heading3"/>
      </w:pPr>
      <w:r>
        <w:t>5.3 Acquisition Execution</w:t>
      </w:r>
    </w:p>
    <w:p>
      <w:pPr>
        <w:pStyle w:val="ListNumber"/>
      </w:pPr>
      <w:r>
        <w:t>Run ISS JOBS Execute imaging pipeline Monitor acquisition progress Repeat for each sequencing cycle 📝 Document: Log completion time for each cycle</w:t>
      </w:r>
    </w:p>
    <w:p>
      <w:pPr>
        <w:pStyle w:val="Heading2"/>
      </w:pPr>
      <w:r>
        <w:t>6 System Shutdown Procedure</w:t>
      </w:r>
    </w:p>
    <w:p>
      <w:pPr>
        <w:pStyle w:val="Heading3"/>
      </w:pPr>
      <w:r>
        <w:t>6.1 Post-Acquisition Cleanup</w:t>
      </w:r>
    </w:p>
    <w:p>
      <w:pPr>
        <w:pStyle w:val="ListNumber"/>
      </w:pPr>
      <w:r>
        <w:t>Water System Discharge (if used) Press “WID-Discharge” button Confirm complete water discharge</w:t>
      </w:r>
    </w:p>
    <w:p>
      <w:pPr>
        <w:pStyle w:val="ListNumber"/>
      </w:pPr>
      <w:r>
        <w:t>Sample Removal Press “ESC” to lower objectives Remove sample plate and holder Clean stage area if needed</w:t>
      </w:r>
    </w:p>
    <w:p>
      <w:pPr>
        <w:pStyle w:val="Heading3"/>
      </w:pPr>
      <w:r>
        <w:t>6.2 System Power-Down</w:t>
      </w:r>
    </w:p>
    <w:p>
      <w:pPr>
        <w:pStyle w:val="ListNumber"/>
      </w:pPr>
      <w:r>
        <w:t>Software Shutdown Save all configurations and data Close NIS Elements software</w:t>
      </w:r>
    </w:p>
    <w:p>
      <w:pPr>
        <w:pStyle w:val="ListNumber"/>
      </w:pPr>
      <w:r>
        <w:t>Hardware Shutdown Turn OFF microscope and digital mirror switch Turn OFF main microscope switch Turn OFF lamp boxes and incubator Turn OFF main power switch</w:t>
      </w:r>
    </w:p>
    <w:p>
      <w:pPr>
        <w:pStyle w:val="Heading2"/>
      </w:pPr>
      <w:r>
        <w:t>7 Quality Control and Validation</w:t>
      </w:r>
    </w:p>
    <w:p>
      <w:pPr>
        <w:pStyle w:val="Heading3"/>
      </w:pPr>
      <w:r>
        <w:t>7.1 Critical Control Points</w:t>
      </w:r>
    </w:p>
    <w:p>
      <w:pPr>
        <w:pStyle w:val="ListBullet"/>
      </w:pPr>
      <w:r>
        <w:t>CCP 1: All system devices recognized during startup</w:t>
      </w:r>
    </w:p>
    <w:p>
      <w:pPr>
        <w:pStyle w:val="ListBullet"/>
      </w:pPr>
      <w:r>
        <w:t>CCP 2: PFS functioning properly for stable focus</w:t>
      </w:r>
    </w:p>
    <w:p>
      <w:pPr>
        <w:pStyle w:val="ListBullet"/>
      </w:pPr>
      <w:r>
        <w:t>CCP 3: Signal intensity &lt;4095 in all channels</w:t>
      </w:r>
    </w:p>
    <w:p>
      <w:pPr>
        <w:pStyle w:val="ListBullet"/>
      </w:pPr>
      <w:r>
        <w:t>CCP 4: Successful mask generation and plate alignment</w:t>
      </w:r>
    </w:p>
    <w:p>
      <w:pPr>
        <w:pStyle w:val="ListBullet"/>
      </w:pPr>
      <w:r>
        <w:t>CCP 5: Consistent image quality across all acquisition points</w:t>
      </w:r>
    </w:p>
    <w:p>
      <w:pPr>
        <w:pStyle w:val="Heading3"/>
      </w:pPr>
      <w:r>
        <w:t>7.2 Expected Results</w:t>
      </w:r>
    </w:p>
    <w:p>
      <w:pPr>
        <w:pStyle w:val="ListBullet"/>
      </w:pPr>
      <w:r>
        <w:t>Sharp, well-focused images across all channels</w:t>
      </w:r>
    </w:p>
    <w:p>
      <w:pPr>
        <w:pStyle w:val="ListBullet"/>
      </w:pPr>
      <w:r>
        <w:t>Proper exposure without saturation</w:t>
      </w:r>
    </w:p>
    <w:p>
      <w:pPr>
        <w:pStyle w:val="ListBullet"/>
      </w:pPr>
      <w:r>
        <w:t>Consistent illumination across field of view</w:t>
      </w:r>
    </w:p>
    <w:p>
      <w:pPr>
        <w:pStyle w:val="ListBullet"/>
      </w:pPr>
      <w:r>
        <w:t>Successful automated acquisition completion</w:t>
      </w:r>
    </w:p>
    <w:p>
      <w:pPr>
        <w:pStyle w:val="Heading2"/>
      </w:pPr>
      <w:r>
        <w:t>8 Troubleshooting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Problem</w:t>
            </w:r>
          </w:p>
        </w:tc>
        <w:tc>
          <w:tcPr>
            <w:tcW w:type="dxa" w:w="2160"/>
          </w:tcPr>
          <w:p>
            <w:r>
              <w:t>Possible Cause</w:t>
            </w:r>
          </w:p>
        </w:tc>
        <w:tc>
          <w:tcPr>
            <w:tcW w:type="dxa" w:w="2160"/>
          </w:tcPr>
          <w:p>
            <w:r>
              <w:t>Solution</w:t>
            </w:r>
          </w:p>
        </w:tc>
        <w:tc>
          <w:tcPr>
            <w:tcW w:type="dxa" w:w="2160"/>
          </w:tcPr>
          <w:p>
            <w:r>
              <w:t>Prevention</w:t>
            </w:r>
          </w:p>
        </w:tc>
      </w:tr>
      <w:tr>
        <w:tc>
          <w:tcPr>
            <w:tcW w:type="dxa" w:w="2160"/>
          </w:tcPr>
          <w:p>
            <w:r>
              <w:t>Poor focus/drift</w:t>
            </w:r>
          </w:p>
        </w:tc>
        <w:tc>
          <w:tcPr>
            <w:tcW w:type="dxa" w:w="2160"/>
          </w:tcPr>
          <w:p>
            <w:r>
              <w:t>PFS malfunction</w:t>
            </w:r>
          </w:p>
        </w:tc>
        <w:tc>
          <w:tcPr>
            <w:tcW w:type="dxa" w:w="2160"/>
          </w:tcPr>
          <w:p>
            <w:r>
              <w:t>Recalibrate PFS, check sample preparation</w:t>
            </w:r>
          </w:p>
        </w:tc>
        <w:tc>
          <w:tcPr>
            <w:tcW w:type="dxa" w:w="2160"/>
          </w:tcPr>
          <w:p>
            <w:r>
              <w:t>Regular PFS maintenance</w:t>
            </w:r>
          </w:p>
        </w:tc>
      </w:tr>
      <w:tr>
        <w:tc>
          <w:tcPr>
            <w:tcW w:type="dxa" w:w="2160"/>
          </w:tcPr>
          <w:p>
            <w:r>
              <w:t>Signal saturation</w:t>
            </w:r>
          </w:p>
        </w:tc>
        <w:tc>
          <w:tcPr>
            <w:tcW w:type="dxa" w:w="2160"/>
          </w:tcPr>
          <w:p>
            <w:r>
              <w:t>High exposure/lamp power</w:t>
            </w:r>
          </w:p>
        </w:tc>
        <w:tc>
          <w:tcPr>
            <w:tcW w:type="dxa" w:w="2160"/>
          </w:tcPr>
          <w:p>
            <w:r>
              <w:t>Reduce exposure time or lamp intensity</w:t>
            </w:r>
          </w:p>
        </w:tc>
        <w:tc>
          <w:tcPr>
            <w:tcW w:type="dxa" w:w="2160"/>
          </w:tcPr>
          <w:p>
            <w:r>
              <w:t>Pre-optimize settings</w:t>
            </w:r>
          </w:p>
        </w:tc>
      </w:tr>
      <w:tr>
        <w:tc>
          <w:tcPr>
            <w:tcW w:type="dxa" w:w="2160"/>
          </w:tcPr>
          <w:p>
            <w:r>
              <w:t>Uneven illumination</w:t>
            </w:r>
          </w:p>
        </w:tc>
        <w:tc>
          <w:tcPr>
            <w:tcW w:type="dxa" w:w="2160"/>
          </w:tcPr>
          <w:p>
            <w:r>
              <w:t>Misaligned light path</w:t>
            </w:r>
          </w:p>
        </w:tc>
        <w:tc>
          <w:tcPr>
            <w:tcW w:type="dxa" w:w="2160"/>
          </w:tcPr>
          <w:p>
            <w:r>
              <w:t>Check lamp alignment, clean optics</w:t>
            </w:r>
          </w:p>
        </w:tc>
        <w:tc>
          <w:tcPr>
            <w:tcW w:type="dxa" w:w="2160"/>
          </w:tcPr>
          <w:p>
            <w:r>
              <w:t>Regular optical alignment</w:t>
            </w:r>
          </w:p>
        </w:tc>
      </w:tr>
      <w:tr>
        <w:tc>
          <w:tcPr>
            <w:tcW w:type="dxa" w:w="2160"/>
          </w:tcPr>
          <w:p>
            <w:r>
              <w:t>Software crashes</w:t>
            </w:r>
          </w:p>
        </w:tc>
        <w:tc>
          <w:tcPr>
            <w:tcW w:type="dxa" w:w="2160"/>
          </w:tcPr>
          <w:p>
            <w:r>
              <w:t>Memory overload</w:t>
            </w:r>
          </w:p>
        </w:tc>
        <w:tc>
          <w:tcPr>
            <w:tcW w:type="dxa" w:w="2160"/>
          </w:tcPr>
          <w:p>
            <w:r>
              <w:t>Restart software, reduce acquisition area</w:t>
            </w:r>
          </w:p>
        </w:tc>
        <w:tc>
          <w:tcPr>
            <w:tcW w:type="dxa" w:w="2160"/>
          </w:tcPr>
          <w:p>
            <w:r>
              <w:t>Monitor system resources</w:t>
            </w:r>
          </w:p>
        </w:tc>
      </w:tr>
      <w:tr>
        <w:tc>
          <w:tcPr>
            <w:tcW w:type="dxa" w:w="2160"/>
          </w:tcPr>
          <w:p>
            <w:r>
              <w:t>Water objective issues</w:t>
            </w:r>
          </w:p>
        </w:tc>
        <w:tc>
          <w:tcPr>
            <w:tcW w:type="dxa" w:w="2160"/>
          </w:tcPr>
          <w:p>
            <w:r>
              <w:t>Air bubbles/dry objective</w:t>
            </w:r>
          </w:p>
        </w:tc>
        <w:tc>
          <w:tcPr>
            <w:tcW w:type="dxa" w:w="2160"/>
          </w:tcPr>
          <w:p>
            <w:r>
              <w:t>Re-initialize WID system</w:t>
            </w:r>
          </w:p>
        </w:tc>
        <w:tc>
          <w:tcPr>
            <w:tcW w:type="dxa" w:w="2160"/>
          </w:tcPr>
          <w:p>
            <w:r>
              <w:t>Proper WID maintenance</w:t>
            </w:r>
          </w:p>
        </w:tc>
      </w:tr>
      <w:tr>
        <w:tc>
          <w:tcPr>
            <w:tcW w:type="dxa" w:w="2160"/>
          </w:tcPr>
          <w:p>
            <w:r>
              <w:t>Poor signal</w:t>
            </w:r>
          </w:p>
        </w:tc>
        <w:tc>
          <w:tcPr>
            <w:tcW w:type="dxa" w:w="2160"/>
          </w:tcPr>
          <w:p>
            <w:r>
              <w:t>Photobleaching</w:t>
            </w:r>
          </w:p>
        </w:tc>
        <w:tc>
          <w:tcPr>
            <w:tcW w:type="dxa" w:w="2160"/>
          </w:tcPr>
          <w:p>
            <w:r>
              <w:t>Reduce exposure, use ND filters</w:t>
            </w:r>
          </w:p>
        </w:tc>
        <w:tc>
          <w:tcPr>
            <w:tcW w:type="dxa" w:w="2160"/>
          </w:tcPr>
          <w:p>
            <w:r>
              <w:t>Minimize light exposure</w:t>
            </w:r>
          </w:p>
        </w:tc>
      </w:tr>
      <w:tr>
        <w:tc>
          <w:tcPr>
            <w:tcW w:type="dxa" w:w="2160"/>
          </w:tcPr>
          <w:p>
            <w:r>
              <w:t>Plate misalignment</w:t>
            </w:r>
          </w:p>
        </w:tc>
        <w:tc>
          <w:tcPr>
            <w:tcW w:type="dxa" w:w="2160"/>
          </w:tcPr>
          <w:p>
            <w:r>
              <w:t>Incorrect mask/reference</w:t>
            </w:r>
          </w:p>
        </w:tc>
        <w:tc>
          <w:tcPr>
            <w:tcW w:type="dxa" w:w="2160"/>
          </w:tcPr>
          <w:p>
            <w:r>
              <w:t>Regenerate alignment mask</w:t>
            </w:r>
          </w:p>
        </w:tc>
        <w:tc>
          <w:tcPr>
            <w:tcW w:type="dxa" w:w="2160"/>
          </w:tcPr>
          <w:p>
            <w:r>
              <w:t>Verify mask quality</w:t>
            </w:r>
          </w:p>
        </w:tc>
      </w:tr>
      <w:tr>
        <w:tc>
          <w:tcPr>
            <w:tcW w:type="dxa" w:w="2160"/>
          </w:tcPr>
          <w:p>
            <w:r>
              <w:t>Autofocus failure</w:t>
            </w:r>
          </w:p>
        </w:tc>
        <w:tc>
          <w:tcPr>
            <w:tcW w:type="dxa" w:w="2160"/>
          </w:tcPr>
          <w:p>
            <w:r>
              <w:t>Poor contrast</w:t>
            </w:r>
          </w:p>
        </w:tc>
        <w:tc>
          <w:tcPr>
            <w:tcW w:type="dxa" w:w="2160"/>
          </w:tcPr>
          <w:p>
            <w:r>
              <w:t>Switch to manual focus or PFS</w:t>
            </w:r>
          </w:p>
        </w:tc>
        <w:tc>
          <w:tcPr>
            <w:tcW w:type="dxa" w:w="2160"/>
          </w:tcPr>
          <w:p>
            <w:r>
              <w:t>Optimize sample preparation</w:t>
            </w:r>
          </w:p>
        </w:tc>
      </w:tr>
    </w:tbl>
    <w:p>
      <w:pPr>
        <w:pStyle w:val="Heading2"/>
      </w:pPr>
      <w:r>
        <w:t>9 Equipment Maintenance</w:t>
      </w:r>
    </w:p>
    <w:p>
      <w:pPr>
        <w:pStyle w:val="Heading3"/>
      </w:pPr>
      <w:r>
        <w:t>9.1 Daily Maintenance</w:t>
      </w:r>
    </w:p>
    <w:p>
      <w:pPr>
        <w:pStyle w:val="ListBullet"/>
      </w:pPr>
      <w:r>
        <w:t>Clean stage and objectives with lens paper</w:t>
      </w:r>
    </w:p>
    <w:p>
      <w:pPr>
        <w:pStyle w:val="ListBullet"/>
      </w:pPr>
      <w:r>
        <w:t>Check water levels for immersion system</w:t>
      </w:r>
    </w:p>
    <w:p>
      <w:pPr>
        <w:pStyle w:val="ListBullet"/>
      </w:pPr>
      <w:r>
        <w:t>Verify lamp stability and alignment</w:t>
      </w:r>
    </w:p>
    <w:p>
      <w:pPr>
        <w:pStyle w:val="ListBullet"/>
      </w:pPr>
      <w:r>
        <w:t>Clean computer screen and workspace</w:t>
      </w:r>
    </w:p>
    <w:p>
      <w:pPr>
        <w:pStyle w:val="Heading3"/>
      </w:pPr>
      <w:r>
        <w:t>9.2 Weekly Maintenance</w:t>
      </w:r>
    </w:p>
    <w:p>
      <w:pPr>
        <w:pStyle w:val="ListBullet"/>
      </w:pPr>
      <w:r>
        <w:t>Clean all optical surfaces</w:t>
      </w:r>
    </w:p>
    <w:p>
      <w:pPr>
        <w:pStyle w:val="ListBullet"/>
      </w:pPr>
      <w:r>
        <w:t>Check and clean filters</w:t>
      </w:r>
    </w:p>
    <w:p>
      <w:pPr>
        <w:pStyle w:val="ListBullet"/>
      </w:pPr>
      <w:r>
        <w:t>Verify PFS calibration</w:t>
      </w:r>
    </w:p>
    <w:p>
      <w:pPr>
        <w:pStyle w:val="ListBullet"/>
      </w:pPr>
      <w:r>
        <w:t>Update software if needed</w:t>
      </w:r>
    </w:p>
    <w:p>
      <w:pPr>
        <w:pStyle w:val="Heading3"/>
      </w:pPr>
      <w:r>
        <w:t>9.3 Monthly Maintenance</w:t>
      </w:r>
    </w:p>
    <w:p>
      <w:pPr>
        <w:pStyle w:val="ListBullet"/>
      </w:pPr>
      <w:r>
        <w:t>Professional optical alignment check</w:t>
      </w:r>
    </w:p>
    <w:p>
      <w:pPr>
        <w:pStyle w:val="ListBullet"/>
      </w:pPr>
      <w:r>
        <w:t>Deep clean of stage and mechanics</w:t>
      </w:r>
    </w:p>
    <w:p>
      <w:pPr>
        <w:pStyle w:val="ListBullet"/>
      </w:pPr>
      <w:r>
        <w:t>Backup system configurations</w:t>
      </w:r>
    </w:p>
    <w:p>
      <w:pPr>
        <w:pStyle w:val="ListBullet"/>
      </w:pPr>
      <w:r>
        <w:t>Review and update optical configurations</w:t>
      </w:r>
    </w:p>
    <w:p>
      <w:pPr>
        <w:pStyle w:val="Heading2"/>
      </w:pPr>
      <w:r>
        <w:t>10 References and Related Documents</w:t>
      </w:r>
    </w:p>
    <w:p>
      <w:pPr>
        <w:pStyle w:val="Heading3"/>
      </w:pPr>
      <w:r>
        <w:t>10.1 Related SOPs</w:t>
      </w:r>
    </w:p>
    <w:p>
      <w:pPr>
        <w:pStyle w:val="ListBullet"/>
      </w:pPr>
      <w:r>
        <w:t>SOP_009a: Conventional Library Preparation</w:t>
      </w:r>
    </w:p>
    <w:p>
      <w:pPr>
        <w:pStyle w:val="ListBullet"/>
      </w:pPr>
      <w:r>
        <w:t>SOP_009b: T7 Library Preparation</w:t>
      </w:r>
    </w:p>
    <w:p>
      <w:pPr>
        <w:pStyle w:val="ListBullet"/>
      </w:pPr>
      <w:r>
        <w:t>SOP_010: SBS Illumina Sequencing</w:t>
      </w:r>
    </w:p>
    <w:p>
      <w:pPr>
        <w:pStyle w:val="Heading3"/>
      </w:pPr>
      <w:r>
        <w:t>10.2 Equipment Manuals</w:t>
      </w:r>
    </w:p>
    <w:p>
      <w:pPr>
        <w:pStyle w:val="ListBullet"/>
      </w:pPr>
      <w:r>
        <w:t>Nikon Ti2 User Manual</w:t>
      </w:r>
    </w:p>
    <w:p>
      <w:pPr>
        <w:pStyle w:val="ListBullet"/>
      </w:pPr>
      <w:r>
        <w:t>NIS Elements AR Documentation</w:t>
      </w:r>
    </w:p>
    <w:p>
      <w:pPr>
        <w:pStyle w:val="ListBullet"/>
      </w:pPr>
      <w:r>
        <w:t>JOBS Explorer User Guide</w:t>
      </w:r>
    </w:p>
    <w:p>
      <w:pPr>
        <w:pStyle w:val="Heading2"/>
      </w:pPr>
      <w:r>
        <w:t>11 Appendices</w:t>
      </w:r>
    </w:p>
    <w:p>
      <w:pPr>
        <w:pStyle w:val="Heading3"/>
      </w:pPr>
      <w:r>
        <w:t>11.1 Optical Configuration Templates</w:t>
      </w:r>
    </w:p>
    <w:p>
      <w:pPr>
        <w:pStyle w:val="ListBullet"/>
      </w:pPr>
      <w:r>
        <w:t>Standard DAPI settings</w:t>
      </w:r>
    </w:p>
    <w:p>
      <w:pPr>
        <w:pStyle w:val="ListBullet"/>
      </w:pPr>
      <w:r>
        <w:t>Phenotype imaging parameters</w:t>
      </w:r>
    </w:p>
    <w:p>
      <w:pPr>
        <w:pStyle w:val="ListBullet"/>
      </w:pPr>
      <w:r>
        <w:t>T7-ISS kit-specific configurations</w:t>
      </w:r>
    </w:p>
    <w:p>
      <w:pPr>
        <w:pStyle w:val="Heading3"/>
      </w:pPr>
      <w:r>
        <w:t>11.2 Z-Offset Calculation Worksheet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Channel</w:t>
            </w:r>
          </w:p>
        </w:tc>
        <w:tc>
          <w:tcPr>
            <w:tcW w:type="dxa" w:w="2880"/>
          </w:tcPr>
          <w:p>
            <w:r>
              <w:t>Z-Position</w:t>
            </w:r>
          </w:p>
        </w:tc>
        <w:tc>
          <w:tcPr>
            <w:tcW w:type="dxa" w:w="2880"/>
          </w:tcPr>
          <w:p>
            <w:r>
              <w:t>Z-Offset from Reference</w:t>
            </w:r>
          </w:p>
        </w:tc>
      </w:tr>
      <w:tr>
        <w:tc>
          <w:tcPr>
            <w:tcW w:type="dxa" w:w="2880"/>
          </w:tcPr>
          <w:p>
            <w:r>
              <w:t>DAPI (reference)</w:t>
            </w:r>
          </w:p>
        </w:tc>
        <w:tc>
          <w:tcPr>
            <w:tcW w:type="dxa" w:w="2880"/>
          </w:tcPr>
          <w:p>
            <w:r>
              <w:t>_____ μm</w:t>
            </w:r>
          </w:p>
        </w:tc>
        <w:tc>
          <w:tcPr>
            <w:tcW w:type="dxa" w:w="2880"/>
          </w:tcPr>
          <w:p>
            <w:r>
              <w:t>0</w:t>
            </w:r>
          </w:p>
        </w:tc>
      </w:tr>
      <w:tr>
        <w:tc>
          <w:tcPr>
            <w:tcW w:type="dxa" w:w="2880"/>
          </w:tcPr>
          <w:p>
            <w:r>
              <w:t>Channel 1</w:t>
            </w:r>
          </w:p>
        </w:tc>
        <w:tc>
          <w:tcPr>
            <w:tcW w:type="dxa" w:w="2880"/>
          </w:tcPr>
          <w:p>
            <w:r>
              <w:t>_____ μm</w:t>
            </w:r>
          </w:p>
        </w:tc>
        <w:tc>
          <w:tcPr>
            <w:tcW w:type="dxa" w:w="2880"/>
          </w:tcPr>
          <w:p>
            <w:r>
              <w:t>_____ μm</w:t>
            </w:r>
          </w:p>
        </w:tc>
      </w:tr>
      <w:tr>
        <w:tc>
          <w:tcPr>
            <w:tcW w:type="dxa" w:w="2880"/>
          </w:tcPr>
          <w:p>
            <w:r>
              <w:t>Channel 2</w:t>
            </w:r>
          </w:p>
        </w:tc>
        <w:tc>
          <w:tcPr>
            <w:tcW w:type="dxa" w:w="2880"/>
          </w:tcPr>
          <w:p>
            <w:r>
              <w:t>_____ μm</w:t>
            </w:r>
          </w:p>
        </w:tc>
        <w:tc>
          <w:tcPr>
            <w:tcW w:type="dxa" w:w="2880"/>
          </w:tcPr>
          <w:p>
            <w:r>
              <w:t>_____ μm</w:t>
            </w:r>
          </w:p>
        </w:tc>
      </w:tr>
      <w:tr>
        <w:tc>
          <w:tcPr>
            <w:tcW w:type="dxa" w:w="2880"/>
          </w:tcPr>
          <w:p>
            <w:r>
              <w:t>Channel 3</w:t>
            </w:r>
          </w:p>
        </w:tc>
        <w:tc>
          <w:tcPr>
            <w:tcW w:type="dxa" w:w="2880"/>
          </w:tcPr>
          <w:p>
            <w:r>
              <w:t>_____ μm</w:t>
            </w:r>
          </w:p>
        </w:tc>
        <w:tc>
          <w:tcPr>
            <w:tcW w:type="dxa" w:w="2880"/>
          </w:tcPr>
          <w:p>
            <w:r>
              <w:t>_____ μm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